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031D24">
        <w:rPr>
          <w:b/>
          <w:szCs w:val="28"/>
        </w:rPr>
        <w:t xml:space="preserve">постановления </w:t>
      </w:r>
      <w:r w:rsidR="009F35F9" w:rsidRPr="009F35F9">
        <w:rPr>
          <w:b/>
          <w:szCs w:val="28"/>
        </w:rPr>
        <w:t>администрации городского окр</w:t>
      </w:r>
      <w:r w:rsidR="00864CCC">
        <w:rPr>
          <w:b/>
          <w:szCs w:val="28"/>
        </w:rPr>
        <w:t xml:space="preserve">уга Тейково Ивановской области </w:t>
      </w:r>
      <w:r w:rsidR="00585F0F" w:rsidRPr="00585F0F">
        <w:rPr>
          <w:b/>
          <w:szCs w:val="28"/>
        </w:rPr>
        <w:t>«О внесении изменений в постановление администрации городского округа Тейково Ивановской области от 27.05.2011 № 315 «Об утверждении схемы размещения нестационарных торговых объектов на территории городского округа Тейково»».</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41"/>
        <w:gridCol w:w="2835"/>
        <w:gridCol w:w="3969"/>
        <w:gridCol w:w="2835"/>
      </w:tblGrid>
      <w:tr w:rsidR="00442B5F" w:rsidRPr="00875E34" w:rsidTr="00BD1E51">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r w:rsidRPr="00875E34">
              <w:rPr>
                <w:szCs w:val="28"/>
              </w:rPr>
              <w:t xml:space="preserve"> </w:t>
            </w:r>
          </w:p>
        </w:tc>
        <w:tc>
          <w:tcPr>
            <w:tcW w:w="2835"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3969"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BD1E51">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835" w:type="dxa"/>
            <w:tcBorders>
              <w:top w:val="outset" w:sz="6" w:space="0" w:color="auto"/>
              <w:left w:val="outset" w:sz="6" w:space="0" w:color="auto"/>
              <w:bottom w:val="outset" w:sz="6" w:space="0" w:color="auto"/>
              <w:right w:val="outset" w:sz="6" w:space="0" w:color="auto"/>
            </w:tcBorders>
            <w:vAlign w:val="center"/>
          </w:tcPr>
          <w:p w:rsidR="00442B5F" w:rsidRDefault="00BD1E51" w:rsidP="00E6367E">
            <w:pPr>
              <w:overflowPunct/>
              <w:autoSpaceDE/>
              <w:adjustRightInd/>
              <w:spacing w:before="100" w:beforeAutospacing="1" w:after="100" w:afterAutospacing="1" w:line="256" w:lineRule="auto"/>
              <w:rPr>
                <w:bCs/>
                <w:szCs w:val="28"/>
                <w:lang w:eastAsia="en-US"/>
              </w:rPr>
            </w:pPr>
            <w:r w:rsidRPr="00BD1E51">
              <w:rPr>
                <w:bCs/>
                <w:szCs w:val="28"/>
                <w:lang w:eastAsia="en-US"/>
              </w:rPr>
              <w:t>Индивидуа</w:t>
            </w:r>
            <w:r>
              <w:rPr>
                <w:bCs/>
                <w:szCs w:val="28"/>
                <w:lang w:eastAsia="en-US"/>
              </w:rPr>
              <w:t>льные предприниматели и юридиче</w:t>
            </w:r>
            <w:r w:rsidRPr="00BD1E51">
              <w:rPr>
                <w:bCs/>
                <w:szCs w:val="28"/>
                <w:lang w:eastAsia="en-US"/>
              </w:rPr>
              <w:t>ские лица, осуществляющие деятельность в сфере торгов</w:t>
            </w:r>
            <w:r>
              <w:rPr>
                <w:bCs/>
                <w:szCs w:val="28"/>
                <w:lang w:eastAsia="en-US"/>
              </w:rPr>
              <w:t>ли, общественного питания, быто</w:t>
            </w:r>
            <w:r w:rsidRPr="00BD1E51">
              <w:rPr>
                <w:bCs/>
                <w:szCs w:val="28"/>
                <w:lang w:eastAsia="en-US"/>
              </w:rPr>
              <w:t>вого обслуж</w:t>
            </w:r>
            <w:r>
              <w:rPr>
                <w:bCs/>
                <w:szCs w:val="28"/>
                <w:lang w:eastAsia="en-US"/>
              </w:rPr>
              <w:t>ивания с использованием нестаци</w:t>
            </w:r>
            <w:r w:rsidRPr="00BD1E51">
              <w:rPr>
                <w:bCs/>
                <w:szCs w:val="28"/>
                <w:lang w:eastAsia="en-US"/>
              </w:rPr>
              <w:t>онарных торговых объектов</w:t>
            </w:r>
          </w:p>
        </w:tc>
        <w:tc>
          <w:tcPr>
            <w:tcW w:w="3969"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BD1E51">
        <w:rPr>
          <w:szCs w:val="28"/>
        </w:rPr>
        <w:t>3</w:t>
      </w:r>
      <w:r>
        <w:rPr>
          <w:szCs w:val="28"/>
        </w:rPr>
        <w:t xml:space="preserve">, в </w:t>
      </w:r>
      <w:proofErr w:type="spellStart"/>
      <w:r>
        <w:rPr>
          <w:szCs w:val="28"/>
        </w:rPr>
        <w:t>т.ч</w:t>
      </w:r>
      <w:proofErr w:type="spellEnd"/>
      <w:r>
        <w:rPr>
          <w:szCs w:val="28"/>
        </w:rPr>
        <w:t xml:space="preserve">.: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BD1E51">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bookmarkStart w:id="0" w:name="_GoBack"/>
      <w:bookmarkEnd w:id="0"/>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80"/>
    <w:rsid w:val="00031D24"/>
    <w:rsid w:val="000C26F7"/>
    <w:rsid w:val="001A4F0F"/>
    <w:rsid w:val="001D1B84"/>
    <w:rsid w:val="002850A3"/>
    <w:rsid w:val="002F4A9E"/>
    <w:rsid w:val="00442B5F"/>
    <w:rsid w:val="004C7100"/>
    <w:rsid w:val="004D06ED"/>
    <w:rsid w:val="0054034E"/>
    <w:rsid w:val="00561237"/>
    <w:rsid w:val="00585F0F"/>
    <w:rsid w:val="00643B80"/>
    <w:rsid w:val="00864CCC"/>
    <w:rsid w:val="00875E34"/>
    <w:rsid w:val="009346A9"/>
    <w:rsid w:val="00957441"/>
    <w:rsid w:val="009F35F9"/>
    <w:rsid w:val="00A1074F"/>
    <w:rsid w:val="00A93CF3"/>
    <w:rsid w:val="00AD5ECC"/>
    <w:rsid w:val="00B03EC5"/>
    <w:rsid w:val="00BD1E51"/>
    <w:rsid w:val="00CA74C7"/>
    <w:rsid w:val="00CF7962"/>
    <w:rsid w:val="00E053D3"/>
    <w:rsid w:val="00E2462E"/>
    <w:rsid w:val="00E6367E"/>
    <w:rsid w:val="00EB43DD"/>
    <w:rsid w:val="00F4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СВОДКА ПРЕДЛОЖЕНИЙ</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Самойленко Людмила Владимировна</cp:lastModifiedBy>
  <cp:revision>11</cp:revision>
  <cp:lastPrinted>2021-05-28T05:48:00Z</cp:lastPrinted>
  <dcterms:created xsi:type="dcterms:W3CDTF">2017-03-29T05:37:00Z</dcterms:created>
  <dcterms:modified xsi:type="dcterms:W3CDTF">2021-05-28T05:49:00Z</dcterms:modified>
</cp:coreProperties>
</file>