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47" w:rsidRDefault="00AC4F47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C4F47" w:rsidRDefault="00AC4F47">
      <w:pPr>
        <w:pStyle w:val="ConsPlusNormal"/>
        <w:outlineLvl w:val="0"/>
      </w:pPr>
    </w:p>
    <w:p w:rsidR="00AC4F47" w:rsidRDefault="00AC4F47">
      <w:pPr>
        <w:pStyle w:val="ConsPlusTitle"/>
        <w:jc w:val="center"/>
        <w:outlineLvl w:val="0"/>
      </w:pPr>
      <w:r>
        <w:t>ДЕПАРТАМЕНТ ЭНЕРГЕТИКИ И ТАРИФОВ ИВАНОВСКОЙ ОБЛАСТИ</w:t>
      </w:r>
    </w:p>
    <w:p w:rsidR="00AC4F47" w:rsidRDefault="00AC4F47">
      <w:pPr>
        <w:pStyle w:val="ConsPlusTitle"/>
        <w:jc w:val="center"/>
      </w:pPr>
    </w:p>
    <w:p w:rsidR="00AC4F47" w:rsidRDefault="00AC4F47">
      <w:pPr>
        <w:pStyle w:val="ConsPlusTitle"/>
        <w:jc w:val="center"/>
      </w:pPr>
      <w:r>
        <w:t>ПОСТАНОВЛЕНИЕ</w:t>
      </w:r>
    </w:p>
    <w:p w:rsidR="00AC4F47" w:rsidRDefault="00AC4F47">
      <w:pPr>
        <w:pStyle w:val="ConsPlusTitle"/>
        <w:jc w:val="center"/>
      </w:pPr>
      <w:r>
        <w:t>от 31 мая 2017 г. N 144-н/1</w:t>
      </w:r>
    </w:p>
    <w:p w:rsidR="00AC4F47" w:rsidRDefault="00AC4F47">
      <w:pPr>
        <w:pStyle w:val="ConsPlusTitle"/>
        <w:jc w:val="center"/>
      </w:pPr>
    </w:p>
    <w:p w:rsidR="00AC4F47" w:rsidRDefault="00AC4F47">
      <w:pPr>
        <w:pStyle w:val="ConsPlusTitle"/>
        <w:jc w:val="center"/>
      </w:pPr>
      <w:r>
        <w:t>ОБ УТВЕРЖДЕНИИ НОРМАТИВОВ ПОТРЕБЛЕНИЯ ХОЛОДНОЙ ВОДЫ,</w:t>
      </w:r>
    </w:p>
    <w:p w:rsidR="00AC4F47" w:rsidRDefault="00AC4F47">
      <w:pPr>
        <w:pStyle w:val="ConsPlusTitle"/>
        <w:jc w:val="center"/>
      </w:pPr>
      <w:r>
        <w:t>ГОРЯЧЕЙ ВОДЫ, ОТВЕДЕНИЯ СТОЧНЫХ ВОД В ЦЕЛЯХ СОДЕРЖАНИЯ</w:t>
      </w:r>
    </w:p>
    <w:p w:rsidR="00AC4F47" w:rsidRDefault="00AC4F47">
      <w:pPr>
        <w:pStyle w:val="ConsPlusTitle"/>
        <w:jc w:val="center"/>
      </w:pPr>
      <w:r>
        <w:t>ОБЩЕГО ИМУЩЕСТВА В МНОГОКВАРТИРНОМ ДОМЕ</w:t>
      </w:r>
    </w:p>
    <w:p w:rsidR="00AC4F47" w:rsidRDefault="00AC4F47">
      <w:pPr>
        <w:pStyle w:val="ConsPlusTitle"/>
        <w:jc w:val="center"/>
      </w:pPr>
      <w:r>
        <w:t>НА ТЕРРИТОРИИ ИВАНОВСКОЙ ОБЛАСТИ</w:t>
      </w:r>
    </w:p>
    <w:p w:rsidR="00AC4F47" w:rsidRDefault="00AC4F4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AC4F4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C4F47" w:rsidRDefault="00AC4F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4F47" w:rsidRDefault="00AC4F4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Департамента энергетики и тарифов Ивановской области</w:t>
            </w:r>
            <w:proofErr w:type="gramEnd"/>
          </w:p>
          <w:p w:rsidR="00AC4F47" w:rsidRDefault="00AC4F47">
            <w:pPr>
              <w:pStyle w:val="ConsPlusNormal"/>
              <w:jc w:val="center"/>
            </w:pPr>
            <w:r>
              <w:rPr>
                <w:color w:val="392C69"/>
              </w:rPr>
              <w:t>от 09.06.2017 N 145-н/1)</w:t>
            </w:r>
          </w:p>
        </w:tc>
      </w:tr>
    </w:tbl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9.2 статьи 156</w:t>
        </w:r>
      </w:hyperlink>
      <w:r>
        <w:t xml:space="preserve"> и </w:t>
      </w:r>
      <w:hyperlink r:id="rId7" w:history="1">
        <w:r>
          <w:rPr>
            <w:color w:val="0000FF"/>
          </w:rPr>
          <w:t>частью 1 статьи 157</w:t>
        </w:r>
      </w:hyperlink>
      <w:r>
        <w:t xml:space="preserve"> Жилищного кодекса Российской Федерации,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26.12.2016 N 1498 "О вопросах предоставления коммунальных услуг и содержания общего имущества в многоквартирном доме",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23.05.2006 N 306 "Об утверждении Правил установления и определения нормативов потребления коммунальных услуг и нормативов потребления коммунальных ресурсов в целях</w:t>
      </w:r>
      <w:proofErr w:type="gramEnd"/>
      <w:r>
        <w:t xml:space="preserve"> содержания общего имущества в многоквартирном доме" Департамент энергетики и тарифов Ивановской области постановляет:</w:t>
      </w:r>
    </w:p>
    <w:p w:rsidR="00AC4F47" w:rsidRDefault="00AC4F47">
      <w:pPr>
        <w:pStyle w:val="ConsPlusNormal"/>
        <w:ind w:firstLine="540"/>
        <w:jc w:val="both"/>
      </w:pPr>
    </w:p>
    <w:p w:rsidR="00AC4F47" w:rsidRDefault="00AC4F47">
      <w:pPr>
        <w:pStyle w:val="ConsPlusNormal"/>
        <w:ind w:firstLine="540"/>
        <w:jc w:val="both"/>
      </w:pPr>
      <w:r>
        <w:t xml:space="preserve">1. Установить и ввести в действие с 01.06.2017 </w:t>
      </w:r>
      <w:hyperlink w:anchor="P33" w:history="1">
        <w:r>
          <w:rPr>
            <w:color w:val="0000FF"/>
          </w:rPr>
          <w:t>нормативы</w:t>
        </w:r>
      </w:hyperlink>
      <w:r>
        <w:t xml:space="preserve"> потребления холодной воды, горячей воды, отведения сточных вод в целях содержания общего имущества в многоквартирном доме на территории Ивановской области, определенные расчетным методом, согласно приложению к настоящему постановлению.</w:t>
      </w:r>
    </w:p>
    <w:p w:rsidR="00AC4F47" w:rsidRDefault="00AC4F47">
      <w:pPr>
        <w:pStyle w:val="ConsPlusNormal"/>
        <w:ind w:firstLine="540"/>
        <w:jc w:val="both"/>
      </w:pPr>
    </w:p>
    <w:p w:rsidR="00AC4F47" w:rsidRDefault="00AC4F47">
      <w:pPr>
        <w:pStyle w:val="ConsPlusNormal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AC4F47" w:rsidRDefault="00AC4F47">
      <w:pPr>
        <w:pStyle w:val="ConsPlusNormal"/>
        <w:ind w:firstLine="540"/>
        <w:jc w:val="both"/>
      </w:pPr>
    </w:p>
    <w:p w:rsidR="00AC4F47" w:rsidRDefault="00AC4F47">
      <w:pPr>
        <w:pStyle w:val="ConsPlusNormal"/>
        <w:jc w:val="right"/>
      </w:pPr>
      <w:r>
        <w:t>И.о. начальника Департамента</w:t>
      </w:r>
    </w:p>
    <w:p w:rsidR="00AC4F47" w:rsidRDefault="00AC4F47">
      <w:pPr>
        <w:pStyle w:val="ConsPlusNormal"/>
        <w:jc w:val="right"/>
      </w:pPr>
      <w:r>
        <w:t>Д.К.КРЫЛОВ</w:t>
      </w: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Normal"/>
        <w:jc w:val="right"/>
        <w:outlineLvl w:val="0"/>
      </w:pPr>
      <w:r>
        <w:lastRenderedPageBreak/>
        <w:t>Приложение</w:t>
      </w:r>
    </w:p>
    <w:p w:rsidR="00AC4F47" w:rsidRDefault="00AC4F47">
      <w:pPr>
        <w:pStyle w:val="ConsPlusNormal"/>
        <w:jc w:val="right"/>
      </w:pPr>
      <w:r>
        <w:t>к постановлению</w:t>
      </w:r>
    </w:p>
    <w:p w:rsidR="00AC4F47" w:rsidRDefault="00AC4F47">
      <w:pPr>
        <w:pStyle w:val="ConsPlusNormal"/>
        <w:jc w:val="right"/>
      </w:pPr>
      <w:r>
        <w:t>Департамента энергетики и тарифов</w:t>
      </w:r>
    </w:p>
    <w:p w:rsidR="00AC4F47" w:rsidRDefault="00AC4F47">
      <w:pPr>
        <w:pStyle w:val="ConsPlusNormal"/>
        <w:jc w:val="right"/>
      </w:pPr>
      <w:r>
        <w:t>Ивановской области</w:t>
      </w:r>
    </w:p>
    <w:p w:rsidR="00AC4F47" w:rsidRDefault="00AC4F47">
      <w:pPr>
        <w:pStyle w:val="ConsPlusNormal"/>
        <w:jc w:val="right"/>
      </w:pPr>
      <w:r>
        <w:t>от 31 мая 2017 г. N 144-н/1</w:t>
      </w:r>
    </w:p>
    <w:p w:rsidR="00AC4F47" w:rsidRDefault="00AC4F47">
      <w:pPr>
        <w:pStyle w:val="ConsPlusNormal"/>
        <w:jc w:val="center"/>
      </w:pPr>
    </w:p>
    <w:p w:rsidR="00AC4F47" w:rsidRDefault="00AC4F47">
      <w:pPr>
        <w:pStyle w:val="ConsPlusTitle"/>
        <w:jc w:val="center"/>
      </w:pPr>
      <w:bookmarkStart w:id="0" w:name="P33"/>
      <w:bookmarkEnd w:id="0"/>
      <w:r>
        <w:t>НОРМАТИВЫ</w:t>
      </w:r>
    </w:p>
    <w:p w:rsidR="00AC4F47" w:rsidRDefault="00AC4F47">
      <w:pPr>
        <w:pStyle w:val="ConsPlusTitle"/>
        <w:jc w:val="center"/>
      </w:pPr>
      <w:r>
        <w:t xml:space="preserve">ПОТРЕБЛЕНИЯ ХОЛОДНОЙ ВОДЫ, ГОРЯЧЕЙ ВОДЫ, ОТВЕДЕНИЯ </w:t>
      </w:r>
      <w:proofErr w:type="gramStart"/>
      <w:r>
        <w:t>СТОЧНЫХ</w:t>
      </w:r>
      <w:proofErr w:type="gramEnd"/>
    </w:p>
    <w:p w:rsidR="00AC4F47" w:rsidRDefault="00AC4F47">
      <w:pPr>
        <w:pStyle w:val="ConsPlusTitle"/>
        <w:jc w:val="center"/>
      </w:pPr>
      <w:r>
        <w:t xml:space="preserve">ВОД В ЦЕЛЯХ СОДЕРЖАНИЯ ОБЩЕГО ИМУЩЕСТВА В </w:t>
      </w:r>
      <w:proofErr w:type="gramStart"/>
      <w:r>
        <w:t>МНОГОКВАРТИРНОМ</w:t>
      </w:r>
      <w:proofErr w:type="gramEnd"/>
    </w:p>
    <w:p w:rsidR="00AC4F47" w:rsidRDefault="00AC4F47">
      <w:pPr>
        <w:pStyle w:val="ConsPlusTitle"/>
        <w:jc w:val="center"/>
      </w:pPr>
      <w:proofErr w:type="gramStart"/>
      <w:r>
        <w:t>ДОМЕ</w:t>
      </w:r>
      <w:proofErr w:type="gramEnd"/>
      <w:r>
        <w:t xml:space="preserve"> НА ТЕРРИТОРИИ ИВАНОВСКОЙ ОБЛАСТИ</w:t>
      </w:r>
    </w:p>
    <w:tbl>
      <w:tblPr>
        <w:tblpPr w:leftFromText="180" w:rightFromText="180" w:vertAnchor="text" w:horzAnchor="page" w:tblpXSpec="center" w:tblpY="217"/>
        <w:tblW w:w="5238" w:type="pct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21"/>
        <w:gridCol w:w="413"/>
        <w:gridCol w:w="104"/>
        <w:gridCol w:w="1808"/>
        <w:gridCol w:w="177"/>
        <w:gridCol w:w="909"/>
        <w:gridCol w:w="225"/>
        <w:gridCol w:w="807"/>
        <w:gridCol w:w="327"/>
        <w:gridCol w:w="1381"/>
        <w:gridCol w:w="1704"/>
        <w:gridCol w:w="175"/>
        <w:gridCol w:w="1985"/>
      </w:tblGrid>
      <w:tr w:rsidR="00AC4F47" w:rsidTr="00AC4F47"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4F3F8"/>
          </w:tcPr>
          <w:p w:rsidR="00AC4F47" w:rsidRDefault="00AC4F47" w:rsidP="00AC4F4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C4F47" w:rsidRDefault="00AC4F47" w:rsidP="00AC4F4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Департамента энергетики и тарифов Ивановской области</w:t>
            </w:r>
            <w:r>
              <w:rPr>
                <w:color w:val="392C69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  <w:p w:rsidR="00AC4F47" w:rsidRDefault="00AC4F47" w:rsidP="00AC4F47">
            <w:pPr>
              <w:pStyle w:val="ConsPlusNormal"/>
              <w:jc w:val="center"/>
            </w:pPr>
            <w:r>
              <w:rPr>
                <w:color w:val="392C69"/>
              </w:rPr>
              <w:t>от 09.06.2017 N 145-н/1)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89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Категория жилых помещений</w:t>
            </w:r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Этажность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Норматив потребления холодной воды в целях содержания общего имущества в многоквартирном доме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Норматив потребления горячей воды в целях содержания общего имущества в многоквартирном доме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Норматив отведения сточных вод в целях содержания общего имущества в многоквартирном доме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89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7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 w:val="restart"/>
          </w:tcPr>
          <w:p w:rsidR="00AC4F47" w:rsidRDefault="00AC4F47" w:rsidP="00AC4F47">
            <w:pPr>
              <w:pStyle w:val="ConsPlusNormal"/>
            </w:pPr>
            <w:r>
              <w:t>1</w:t>
            </w:r>
          </w:p>
        </w:tc>
        <w:tc>
          <w:tcPr>
            <w:tcW w:w="989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>Многоквартирные дома с централизованным холодным и горячим водоснабжением, водоотведением</w:t>
            </w:r>
          </w:p>
        </w:tc>
        <w:tc>
          <w:tcPr>
            <w:tcW w:w="565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 xml:space="preserve">куб. метр в месяц на кв. метр общей площади </w:t>
            </w:r>
            <w:hyperlink w:anchor="P1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 до 5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0,0308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0,0308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0,0616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6 до 9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0,0248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0,0248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0,0496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10 до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0,0199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0,0199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0,0398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более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0,007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0,007</w:t>
            </w:r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0,014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 w:val="restart"/>
          </w:tcPr>
          <w:p w:rsidR="00AC4F47" w:rsidRDefault="00AC4F47" w:rsidP="00AC4F47">
            <w:pPr>
              <w:pStyle w:val="ConsPlusNormal"/>
            </w:pPr>
            <w:r>
              <w:t>2</w:t>
            </w:r>
          </w:p>
        </w:tc>
        <w:tc>
          <w:tcPr>
            <w:tcW w:w="989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>Многоквартирные дома с централизованным холодным водоснабжением, водонагревателями, водоотведением</w:t>
            </w:r>
          </w:p>
        </w:tc>
        <w:tc>
          <w:tcPr>
            <w:tcW w:w="565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 xml:space="preserve">куб. метр в месяц на кв. метр общей площади </w:t>
            </w:r>
            <w:hyperlink w:anchor="P1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 до 5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0,0394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0,0394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6 до 9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0,016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0,016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10 до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0,0089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0,0089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более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0,0067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0,0067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 w:val="restart"/>
          </w:tcPr>
          <w:p w:rsidR="00AC4F47" w:rsidRDefault="00AC4F47" w:rsidP="00AC4F47">
            <w:pPr>
              <w:pStyle w:val="ConsPlusNormal"/>
            </w:pPr>
            <w:r>
              <w:t>3</w:t>
            </w:r>
          </w:p>
        </w:tc>
        <w:tc>
          <w:tcPr>
            <w:tcW w:w="989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>Многоквартирные дома без водонагревателей с централизованным холодным водоснабжением и водоотведением, оборудованные раковинами, мойками и унитазами</w:t>
            </w:r>
          </w:p>
        </w:tc>
        <w:tc>
          <w:tcPr>
            <w:tcW w:w="565" w:type="pct"/>
            <w:gridSpan w:val="2"/>
            <w:vMerge w:val="restart"/>
          </w:tcPr>
          <w:p w:rsidR="00AC4F47" w:rsidRDefault="00AC4F47" w:rsidP="00AC4F47">
            <w:pPr>
              <w:pStyle w:val="ConsPlusNormal"/>
              <w:jc w:val="both"/>
            </w:pPr>
            <w:r>
              <w:t xml:space="preserve">куб. метр в месяц на кв. метр общей площади </w:t>
            </w:r>
            <w:hyperlink w:anchor="P1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 до 5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0,0291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0,0291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6 до 9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0,0407</w:t>
            </w:r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0,0407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от 10 до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vMerge/>
          </w:tcPr>
          <w:p w:rsidR="00AC4F47" w:rsidRDefault="00AC4F47" w:rsidP="00AC4F47"/>
        </w:tc>
        <w:tc>
          <w:tcPr>
            <w:tcW w:w="989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  <w:vMerge/>
          </w:tcPr>
          <w:p w:rsidR="00AC4F47" w:rsidRDefault="00AC4F47" w:rsidP="00AC4F47"/>
        </w:tc>
        <w:tc>
          <w:tcPr>
            <w:tcW w:w="565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более 16</w:t>
            </w:r>
          </w:p>
        </w:tc>
        <w:tc>
          <w:tcPr>
            <w:tcW w:w="688" w:type="pct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3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58" w:type="pct"/>
            <w:gridSpan w:val="2"/>
            <w:tcBorders>
              <w:bottom w:val="nil"/>
            </w:tcBorders>
          </w:tcPr>
          <w:p w:rsidR="00AC4F47" w:rsidRDefault="00AC4F47" w:rsidP="00AC4F47">
            <w:pPr>
              <w:pStyle w:val="ConsPlusNormal"/>
            </w:pPr>
            <w:r>
              <w:t>4</w:t>
            </w:r>
          </w:p>
        </w:tc>
        <w:tc>
          <w:tcPr>
            <w:tcW w:w="989" w:type="pct"/>
            <w:gridSpan w:val="2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both"/>
            </w:pPr>
            <w:r>
              <w:t>Многоквартирные дома с централизованным холодным водоснабжением без централизованного водоотведения</w:t>
            </w:r>
          </w:p>
        </w:tc>
        <w:tc>
          <w:tcPr>
            <w:tcW w:w="565" w:type="pct"/>
            <w:gridSpan w:val="2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both"/>
            </w:pPr>
            <w:r>
              <w:t xml:space="preserve">куб. метр в месяц на кв. метр общей площади </w:t>
            </w:r>
            <w:hyperlink w:anchor="P1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65" w:type="pct"/>
            <w:gridSpan w:val="2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center"/>
            </w:pPr>
          </w:p>
        </w:tc>
        <w:tc>
          <w:tcPr>
            <w:tcW w:w="688" w:type="pct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center"/>
            </w:pPr>
            <w:r>
              <w:t>0,0148</w:t>
            </w:r>
          </w:p>
        </w:tc>
        <w:tc>
          <w:tcPr>
            <w:tcW w:w="936" w:type="pct"/>
            <w:gridSpan w:val="2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9" w:type="pct"/>
            <w:tcBorders>
              <w:bottom w:val="nil"/>
            </w:tcBorders>
          </w:tcPr>
          <w:p w:rsidR="00AC4F47" w:rsidRDefault="00AC4F47" w:rsidP="00AC4F47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4990" w:type="pct"/>
            <w:gridSpan w:val="12"/>
            <w:tcBorders>
              <w:top w:val="nil"/>
            </w:tcBorders>
          </w:tcPr>
          <w:p w:rsidR="00AC4F47" w:rsidRDefault="00AC4F47" w:rsidP="00AC4F47">
            <w:pPr>
              <w:pStyle w:val="ConsPlusNormal"/>
              <w:jc w:val="both"/>
            </w:pPr>
            <w:proofErr w:type="gramStart"/>
            <w:r>
              <w:t xml:space="preserve">(п. 4 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Департамента энергетики и тарифов Ивановской области</w:t>
            </w:r>
            <w:proofErr w:type="gramEnd"/>
          </w:p>
          <w:p w:rsidR="00AC4F47" w:rsidRDefault="00AC4F47" w:rsidP="00AC4F47">
            <w:pPr>
              <w:pStyle w:val="ConsPlusNormal"/>
              <w:jc w:val="both"/>
            </w:pPr>
            <w:r>
              <w:t>от 09.06.2017 N 145-н/1)</w:t>
            </w:r>
          </w:p>
        </w:tc>
      </w:tr>
      <w:tr w:rsidR="00AC4F47" w:rsidTr="00AC4F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0" w:type="pct"/>
        </w:trPr>
        <w:tc>
          <w:tcPr>
            <w:tcW w:w="206" w:type="pct"/>
          </w:tcPr>
          <w:p w:rsidR="00AC4F47" w:rsidRDefault="00AC4F47" w:rsidP="00AC4F47">
            <w:pPr>
              <w:pStyle w:val="ConsPlusNormal"/>
            </w:pPr>
            <w:r>
              <w:t>5</w:t>
            </w:r>
          </w:p>
        </w:tc>
        <w:tc>
          <w:tcPr>
            <w:tcW w:w="953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>Многоквартирные дома с централизованным холодным водоснабжением и водоотведением и самостоятельным производством исполнителем коммунальной услуги по горячему водоснабжению (при отсутствии централизованного горячего водоснабжения)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541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  <w:r>
              <w:t xml:space="preserve">куб. метр в месяц на кв. метр общей площади </w:t>
            </w:r>
            <w:hyperlink w:anchor="P1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514" w:type="pct"/>
            <w:gridSpan w:val="2"/>
          </w:tcPr>
          <w:p w:rsidR="00AC4F47" w:rsidRDefault="00AC4F47" w:rsidP="00AC4F47">
            <w:pPr>
              <w:pStyle w:val="ConsPlusNormal"/>
              <w:jc w:val="both"/>
            </w:pPr>
          </w:p>
        </w:tc>
        <w:tc>
          <w:tcPr>
            <w:tcW w:w="851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0,0143</w:t>
            </w:r>
          </w:p>
        </w:tc>
        <w:tc>
          <w:tcPr>
            <w:tcW w:w="849" w:type="pct"/>
          </w:tcPr>
          <w:p w:rsidR="00AC4F47" w:rsidRDefault="00AC4F47" w:rsidP="00AC4F47">
            <w:pPr>
              <w:pStyle w:val="ConsPlusNormal"/>
              <w:jc w:val="center"/>
            </w:pPr>
            <w:r>
              <w:t>0,0143</w:t>
            </w:r>
          </w:p>
        </w:tc>
        <w:tc>
          <w:tcPr>
            <w:tcW w:w="1076" w:type="pct"/>
            <w:gridSpan w:val="2"/>
          </w:tcPr>
          <w:p w:rsidR="00AC4F47" w:rsidRDefault="00AC4F47" w:rsidP="00AC4F47">
            <w:pPr>
              <w:pStyle w:val="ConsPlusNormal"/>
              <w:jc w:val="center"/>
            </w:pPr>
            <w:r>
              <w:t>0,0286</w:t>
            </w:r>
          </w:p>
        </w:tc>
      </w:tr>
    </w:tbl>
    <w:p w:rsidR="00AC4F47" w:rsidRDefault="00AC4F47">
      <w:pPr>
        <w:spacing w:after="1"/>
      </w:pPr>
    </w:p>
    <w:p w:rsidR="00AC4F47" w:rsidRDefault="00AC4F47">
      <w:pPr>
        <w:pStyle w:val="ConsPlusNormal"/>
        <w:jc w:val="both"/>
      </w:pPr>
    </w:p>
    <w:p w:rsidR="00AC4F47" w:rsidRDefault="00AC4F47">
      <w:pPr>
        <w:pStyle w:val="ConsPlusNormal"/>
        <w:ind w:firstLine="540"/>
        <w:jc w:val="both"/>
      </w:pPr>
      <w:r>
        <w:t>--------------------------------</w:t>
      </w:r>
    </w:p>
    <w:p w:rsidR="00AC4F47" w:rsidRDefault="00AC4F47">
      <w:pPr>
        <w:pStyle w:val="ConsPlusNormal"/>
        <w:spacing w:before="220"/>
        <w:ind w:firstLine="540"/>
        <w:jc w:val="both"/>
      </w:pPr>
      <w:bookmarkStart w:id="1" w:name="P130"/>
      <w:bookmarkEnd w:id="1"/>
      <w:proofErr w:type="gramStart"/>
      <w:r>
        <w:t>&lt;*&gt; Общая площадь помещений, входящих в состав общего имущества в многоквартирном доме, определяется как суммарная площадь следующих помещений, не являющихся частями квартир многоквартирного дома и предназначенных для обслуживания более одного помещения в многоквартирном доме (согласно сведениям, указанным в паспорте многоквартирного дома): площади межквартирных лестничных площадок, лестниц, коридоров, тамбуров, холлов, вестибюлей, колясочных, помещений охраны (консьержа) в этом многоквартирном доме, не принадлежащих отдельным</w:t>
      </w:r>
      <w:proofErr w:type="gramEnd"/>
      <w:r>
        <w:t xml:space="preserve"> собственникам.</w:t>
      </w:r>
    </w:p>
    <w:p w:rsidR="00AC4F47" w:rsidRDefault="00AC4F47">
      <w:pPr>
        <w:pStyle w:val="ConsPlusNormal"/>
        <w:jc w:val="both"/>
      </w:pPr>
    </w:p>
    <w:p w:rsidR="00AC4F47" w:rsidRDefault="00AC4F47">
      <w:pPr>
        <w:pStyle w:val="ConsPlusNormal"/>
        <w:jc w:val="both"/>
      </w:pPr>
    </w:p>
    <w:p w:rsidR="00AC4F47" w:rsidRDefault="00AC4F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6760" w:rsidRDefault="00E86760"/>
    <w:sectPr w:rsidR="00E86760" w:rsidSect="00AC4F47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4F47"/>
    <w:rsid w:val="00AC4F47"/>
    <w:rsid w:val="00B01B92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4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4F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1F316FCDA67DB847DE27AF65D7F3283531410A27FFA97040D85AAF9DAEA73217F8D6EDE5D95AE4B93D063ADCAF1D522515B9B04FCD30Cr8Y3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901F316FCDA67DB847DE27AF65D7F3282501617AA77FA97040D85AAF9DAEA73217F8D69DE559EFA12DCD13FE999E2D52151599E1BrFY7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01F316FCDA67DB847DE27AF65D7F3282501617AA77FA97040D85AAF9DAEA73217F8D6EDE5C93AC4193D063ADCAF1D522515B9B04FCD30Cr8Y3M" TargetMode="External"/><Relationship Id="rId11" Type="http://schemas.openxmlformats.org/officeDocument/2006/relationships/hyperlink" Target="consultantplus://offline/ref=B901F316FCDA67DB847DFC77E031233D85594A1CAB76F9C4505883FDA68AEC26613F8B3B9D1998AF43988432EC94A884601A569E1CE0D30894D89790r2YEM" TargetMode="External"/><Relationship Id="rId5" Type="http://schemas.openxmlformats.org/officeDocument/2006/relationships/hyperlink" Target="consultantplus://offline/ref=B901F316FCDA67DB847DFC77E031233D85594A1CAB76F9C4505883FDA68AEC26613F8B3B9D1998AF43988432EC94A884601A569E1CE0D30894D89790r2YEM" TargetMode="External"/><Relationship Id="rId10" Type="http://schemas.openxmlformats.org/officeDocument/2006/relationships/hyperlink" Target="consultantplus://offline/ref=B901F316FCDA67DB847DFC77E031233D85594A1CAB76F9C4505883FDA68AEC26613F8B3B9D1998AF43988432EC94A884601A569E1CE0D30894D89790r2YE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B901F316FCDA67DB847DE27AF65D7F3283551D12AB74FA97040D85AAF9DAEA73217F8D6EDE5D90A74793D063ADCAF1D522515B9B04FCD30Cr8Y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885</Words>
  <Characters>5046</Characters>
  <Application>Microsoft Office Word</Application>
  <DocSecurity>0</DocSecurity>
  <Lines>42</Lines>
  <Paragraphs>11</Paragraphs>
  <ScaleCrop>false</ScaleCrop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2</cp:revision>
  <dcterms:created xsi:type="dcterms:W3CDTF">2019-05-06T12:34:00Z</dcterms:created>
  <dcterms:modified xsi:type="dcterms:W3CDTF">2019-05-06T12:34:00Z</dcterms:modified>
</cp:coreProperties>
</file>