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49" w:rsidRPr="00123928" w:rsidRDefault="004E4F49" w:rsidP="004E4F49">
      <w:pPr>
        <w:autoSpaceDE w:val="0"/>
        <w:autoSpaceDN/>
        <w:ind w:left="9912" w:firstLine="708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Приложение 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№ </w:t>
      </w:r>
      <w:r w:rsidR="001713B2">
        <w:rPr>
          <w:rFonts w:eastAsia="SimSun" w:cs="Mangal"/>
          <w:kern w:val="1"/>
          <w:sz w:val="22"/>
          <w:szCs w:val="22"/>
          <w:lang w:val="ru-RU" w:eastAsia="hi-IN" w:bidi="hi-IN"/>
        </w:rPr>
        <w:t>10</w:t>
      </w: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к  решению городской Думы </w:t>
      </w:r>
    </w:p>
    <w:p w:rsidR="0078592B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городского округа 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>Тейково</w:t>
      </w:r>
    </w:p>
    <w:p w:rsidR="004E4F49" w:rsidRPr="00123928" w:rsidRDefault="0078592B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>
        <w:rPr>
          <w:rFonts w:eastAsia="SimSun" w:cs="Mangal"/>
          <w:kern w:val="1"/>
          <w:sz w:val="22"/>
          <w:szCs w:val="22"/>
          <w:lang w:val="ru-RU" w:eastAsia="hi-IN" w:bidi="hi-IN"/>
        </w:rPr>
        <w:t>Ивановской области</w:t>
      </w:r>
      <w:r w:rsidR="004E4F49"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0C0D9F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от </w:t>
      </w:r>
      <w:r w:rsidR="001713B2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   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>.</w:t>
      </w:r>
      <w:r w:rsidR="001713B2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  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>.202</w:t>
      </w:r>
      <w:r w:rsidR="007F3F95">
        <w:rPr>
          <w:rFonts w:eastAsia="SimSun" w:cs="Mangal"/>
          <w:kern w:val="1"/>
          <w:sz w:val="22"/>
          <w:szCs w:val="22"/>
          <w:lang w:val="ru-RU" w:eastAsia="hi-IN" w:bidi="hi-IN"/>
        </w:rPr>
        <w:t>3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№</w:t>
      </w:r>
      <w:r w:rsidR="00FC4969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0C0D9F" w:rsidRDefault="000C0D9F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Программа</w:t>
      </w: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муниципальных гарантий городского округа </w:t>
      </w:r>
      <w:r w:rsidR="000C0D9F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Тейково</w:t>
      </w:r>
      <w:r w:rsidR="00036CB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Ивановской области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в валюте Российской Федерации</w:t>
      </w: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на 20</w:t>
      </w:r>
      <w:r w:rsidR="000C0D9F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2</w:t>
      </w:r>
      <w:r w:rsidR="007F3F95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4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год и на плановый период 202</w:t>
      </w:r>
      <w:r w:rsidR="007F3F95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5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и 202</w:t>
      </w:r>
      <w:r w:rsidR="007F3F95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6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годов</w:t>
      </w:r>
    </w:p>
    <w:p w:rsidR="004E4F49" w:rsidRPr="00123928" w:rsidRDefault="004E4F49" w:rsidP="004E4F49">
      <w:pPr>
        <w:autoSpaceDE w:val="0"/>
        <w:autoSpaceDN/>
        <w:jc w:val="center"/>
        <w:textAlignment w:val="auto"/>
        <w:rPr>
          <w:rFonts w:eastAsia="SimSun" w:cs="Mangal"/>
          <w:kern w:val="1"/>
          <w:lang w:val="ru-RU" w:eastAsia="hi-IN" w:bidi="hi-IN"/>
        </w:rPr>
      </w:pPr>
    </w:p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  <w:r w:rsidRPr="00123928">
        <w:rPr>
          <w:rFonts w:eastAsia="SimSun" w:cs="Mangal"/>
          <w:kern w:val="1"/>
          <w:lang w:val="ru-RU" w:eastAsia="hi-IN" w:bidi="hi-IN"/>
        </w:rPr>
        <w:t xml:space="preserve">Перечень подлежащих предоставлению муниципальных гарантий городского округа </w:t>
      </w:r>
      <w:r w:rsidR="000C0D9F">
        <w:rPr>
          <w:rFonts w:eastAsia="SimSun" w:cs="Mangal"/>
          <w:kern w:val="1"/>
          <w:lang w:val="ru-RU" w:eastAsia="hi-IN" w:bidi="hi-IN"/>
        </w:rPr>
        <w:t>Тейково</w:t>
      </w:r>
      <w:r w:rsidR="00036CB8">
        <w:rPr>
          <w:rFonts w:eastAsia="SimSun" w:cs="Mangal"/>
          <w:kern w:val="1"/>
          <w:lang w:val="ru-RU" w:eastAsia="hi-IN" w:bidi="hi-IN"/>
        </w:rPr>
        <w:t xml:space="preserve"> Ивановской области</w:t>
      </w:r>
      <w:r w:rsidRPr="00123928">
        <w:rPr>
          <w:rFonts w:eastAsia="SimSun" w:cs="Mangal"/>
          <w:kern w:val="1"/>
          <w:lang w:val="ru-RU" w:eastAsia="hi-IN" w:bidi="hi-IN"/>
        </w:rPr>
        <w:t xml:space="preserve"> в 20</w:t>
      </w:r>
      <w:r w:rsidR="000C0D9F">
        <w:rPr>
          <w:rFonts w:eastAsia="SimSun" w:cs="Mangal"/>
          <w:kern w:val="1"/>
          <w:lang w:val="ru-RU" w:eastAsia="hi-IN" w:bidi="hi-IN"/>
        </w:rPr>
        <w:t>2</w:t>
      </w:r>
      <w:r w:rsidR="007F3F95">
        <w:rPr>
          <w:rFonts w:eastAsia="SimSun" w:cs="Mangal"/>
          <w:kern w:val="1"/>
          <w:lang w:val="ru-RU" w:eastAsia="hi-IN" w:bidi="hi-IN"/>
        </w:rPr>
        <w:t>4</w:t>
      </w:r>
      <w:r w:rsidRPr="00123928">
        <w:rPr>
          <w:rFonts w:eastAsia="SimSun" w:cs="Mangal"/>
          <w:kern w:val="1"/>
          <w:lang w:val="ru-RU" w:eastAsia="hi-IN" w:bidi="hi-IN"/>
        </w:rPr>
        <w:t xml:space="preserve"> – 202</w:t>
      </w:r>
      <w:r w:rsidR="007F3F95">
        <w:rPr>
          <w:rFonts w:eastAsia="SimSun" w:cs="Mangal"/>
          <w:kern w:val="1"/>
          <w:lang w:val="ru-RU" w:eastAsia="hi-IN" w:bidi="hi-IN"/>
        </w:rPr>
        <w:t>6</w:t>
      </w:r>
      <w:r w:rsidRPr="00123928">
        <w:rPr>
          <w:rFonts w:eastAsia="SimSun" w:cs="Mangal"/>
          <w:kern w:val="1"/>
          <w:lang w:val="ru-RU" w:eastAsia="hi-IN" w:bidi="hi-IN"/>
        </w:rPr>
        <w:t xml:space="preserve"> годах</w:t>
      </w:r>
      <w:r w:rsidR="00F57FB2">
        <w:rPr>
          <w:rFonts w:eastAsia="SimSun" w:cs="Mangal"/>
          <w:kern w:val="1"/>
          <w:lang w:val="ru-RU" w:eastAsia="hi-IN" w:bidi="hi-IN"/>
        </w:rPr>
        <w:t>:</w:t>
      </w:r>
    </w:p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8"/>
        <w:gridCol w:w="1710"/>
        <w:gridCol w:w="2127"/>
        <w:gridCol w:w="1483"/>
        <w:gridCol w:w="1134"/>
        <w:gridCol w:w="1134"/>
        <w:gridCol w:w="1134"/>
        <w:gridCol w:w="1352"/>
        <w:gridCol w:w="1701"/>
        <w:gridCol w:w="2499"/>
      </w:tblGrid>
      <w:tr w:rsidR="004E4F49" w:rsidRPr="00123928" w:rsidTr="00162D03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ind w:left="-123" w:firstLine="15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 xml:space="preserve">№ </w:t>
            </w:r>
            <w:proofErr w:type="spellStart"/>
            <w:proofErr w:type="gramStart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</w:t>
            </w:r>
            <w:proofErr w:type="spellEnd"/>
            <w:proofErr w:type="gramEnd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/</w:t>
            </w:r>
            <w:proofErr w:type="spellStart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Цель гарантирования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Наименование принципала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Сумма гарантирования, тыс. руб.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ind w:left="-57" w:right="-57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Наличие права регрессного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Проверка финансового состояния принципала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Иные условия предоставления муниципальных гарантий</w:t>
            </w:r>
          </w:p>
        </w:tc>
      </w:tr>
      <w:tr w:rsidR="004E4F49" w:rsidRPr="00123928" w:rsidTr="00162D03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Общая 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F3F95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</w:t>
            </w:r>
            <w:r w:rsidR="000C0D9F">
              <w:rPr>
                <w:rFonts w:eastAsia="SimSun" w:cs="Mangal"/>
                <w:kern w:val="1"/>
                <w:lang w:val="ru-RU" w:eastAsia="hi-IN" w:bidi="hi-IN"/>
              </w:rPr>
              <w:t>2</w:t>
            </w:r>
            <w:r w:rsidR="007F3F95">
              <w:rPr>
                <w:rFonts w:eastAsia="SimSun" w:cs="Mangal"/>
                <w:kern w:val="1"/>
                <w:lang w:val="ru-RU" w:eastAsia="hi-IN" w:bidi="hi-IN"/>
              </w:rPr>
              <w:t>4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F3F95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202</w:t>
            </w:r>
            <w:r w:rsidR="007F3F95">
              <w:rPr>
                <w:rFonts w:eastAsia="SimSun" w:cs="Mangal"/>
                <w:kern w:val="1"/>
                <w:lang w:val="ru-RU" w:eastAsia="hi-IN" w:bidi="hi-IN"/>
              </w:rPr>
              <w:t>5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F3F95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202</w:t>
            </w:r>
            <w:r w:rsidR="007F3F95">
              <w:rPr>
                <w:rFonts w:eastAsia="SimSun" w:cs="Mangal"/>
                <w:kern w:val="1"/>
                <w:lang w:val="ru-RU" w:eastAsia="hi-IN" w:bidi="hi-IN"/>
              </w:rPr>
              <w:t>6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</w:tr>
      <w:tr w:rsidR="004E4F49" w:rsidRPr="00123928" w:rsidTr="00162D0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10</w:t>
            </w:r>
          </w:p>
        </w:tc>
      </w:tr>
      <w:tr w:rsidR="004E4F49" w:rsidRPr="00123928" w:rsidTr="00162D0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</w:tr>
    </w:tbl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4E4F49" w:rsidRDefault="004E4F49" w:rsidP="000C0D9F">
      <w:pPr>
        <w:autoSpaceDE w:val="0"/>
        <w:autoSpaceDN/>
        <w:jc w:val="both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  <w:r w:rsidRPr="00123928">
        <w:rPr>
          <w:rFonts w:eastAsia="SimSun" w:cs="Mangal"/>
          <w:kern w:val="1"/>
          <w:lang w:val="ru-RU" w:eastAsia="hi-IN" w:bidi="hi-IN"/>
        </w:rPr>
        <w:t xml:space="preserve"> </w:t>
      </w:r>
    </w:p>
    <w:p w:rsidR="00900E66" w:rsidRDefault="00900E66"/>
    <w:sectPr w:rsidR="00900E66" w:rsidSect="000C0D9F">
      <w:pgSz w:w="16838" w:h="11906" w:orient="landscape" w:code="9"/>
      <w:pgMar w:top="426" w:right="567" w:bottom="567" w:left="567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49"/>
    <w:rsid w:val="000362CB"/>
    <w:rsid w:val="00036CB8"/>
    <w:rsid w:val="000A56EA"/>
    <w:rsid w:val="000C0D9F"/>
    <w:rsid w:val="00161381"/>
    <w:rsid w:val="001713B2"/>
    <w:rsid w:val="001C4EE0"/>
    <w:rsid w:val="003105F9"/>
    <w:rsid w:val="004C584F"/>
    <w:rsid w:val="004E4F49"/>
    <w:rsid w:val="00703784"/>
    <w:rsid w:val="00707E34"/>
    <w:rsid w:val="0078592B"/>
    <w:rsid w:val="007F3F95"/>
    <w:rsid w:val="00900E66"/>
    <w:rsid w:val="00984CA3"/>
    <w:rsid w:val="00AB3429"/>
    <w:rsid w:val="00BB43A3"/>
    <w:rsid w:val="00C840EC"/>
    <w:rsid w:val="00D9207F"/>
    <w:rsid w:val="00F57FB2"/>
    <w:rsid w:val="00FC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2020-04-28T06:37:00Z</dcterms:created>
  <dcterms:modified xsi:type="dcterms:W3CDTF">2023-10-30T12:14:00Z</dcterms:modified>
</cp:coreProperties>
</file>