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708" w:rsidRPr="00E34E7B" w:rsidRDefault="00DE5708" w:rsidP="00DE5708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95325" cy="904875"/>
            <wp:effectExtent l="1905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708" w:rsidRPr="00E34E7B" w:rsidRDefault="00DE5708" w:rsidP="00DE5708">
      <w:pPr>
        <w:jc w:val="center"/>
        <w:rPr>
          <w:b/>
          <w:sz w:val="32"/>
          <w:szCs w:val="32"/>
        </w:rPr>
      </w:pPr>
      <w:r w:rsidRPr="00E34E7B">
        <w:rPr>
          <w:b/>
          <w:sz w:val="32"/>
          <w:szCs w:val="32"/>
        </w:rPr>
        <w:t>ПОСТАНОВЛЕНИЕ</w:t>
      </w:r>
    </w:p>
    <w:p w:rsidR="00DE5708" w:rsidRPr="00E34E7B" w:rsidRDefault="00DE5708" w:rsidP="00DE5708">
      <w:pPr>
        <w:jc w:val="center"/>
        <w:rPr>
          <w:b/>
          <w:sz w:val="32"/>
          <w:szCs w:val="32"/>
        </w:rPr>
      </w:pPr>
      <w:r w:rsidRPr="00E34E7B">
        <w:rPr>
          <w:b/>
          <w:sz w:val="32"/>
          <w:szCs w:val="32"/>
        </w:rPr>
        <w:t>администрации городского округа Тейково</w:t>
      </w:r>
    </w:p>
    <w:p w:rsidR="00DE5708" w:rsidRDefault="00DE5708" w:rsidP="00DE5708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 w:rsidRPr="00E34E7B">
        <w:rPr>
          <w:b/>
          <w:sz w:val="32"/>
          <w:szCs w:val="32"/>
        </w:rPr>
        <w:t>Ивановской области</w:t>
      </w:r>
    </w:p>
    <w:p w:rsidR="00DE5708" w:rsidRPr="00E34E7B" w:rsidRDefault="00DE5708" w:rsidP="00DE5708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</w:p>
    <w:p w:rsidR="00DE5708" w:rsidRPr="00E34E7B" w:rsidRDefault="00DE5708" w:rsidP="00DE5708">
      <w:pPr>
        <w:jc w:val="center"/>
        <w:rPr>
          <w:b/>
          <w:sz w:val="32"/>
          <w:szCs w:val="32"/>
        </w:rPr>
      </w:pPr>
    </w:p>
    <w:p w:rsidR="00DE5708" w:rsidRDefault="00DE5708" w:rsidP="00DE5708">
      <w:pPr>
        <w:pStyle w:val="ConsPlusTitlePage"/>
      </w:pPr>
    </w:p>
    <w:p w:rsidR="00DE5708" w:rsidRPr="00DE5708" w:rsidRDefault="005C73D4" w:rsidP="00DE5708">
      <w:pPr>
        <w:pStyle w:val="ConsPlusTitlePage"/>
        <w:jc w:val="center"/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22 ноября 2013 </w:t>
      </w:r>
      <w:r w:rsidR="00DE5708" w:rsidRPr="00DE5708">
        <w:rPr>
          <w:rFonts w:ascii="Times New Roman" w:hAnsi="Times New Roman" w:cs="Times New Roman"/>
          <w:b/>
          <w:sz w:val="28"/>
          <w:szCs w:val="28"/>
        </w:rPr>
        <w:t xml:space="preserve"> № 724</w:t>
      </w:r>
    </w:p>
    <w:p w:rsidR="00DE5708" w:rsidRPr="00DE5708" w:rsidRDefault="00DE57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E5708" w:rsidRPr="00DE5708" w:rsidRDefault="00DE5708" w:rsidP="005C73D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E5708">
        <w:rPr>
          <w:rFonts w:ascii="Times New Roman" w:hAnsi="Times New Roman" w:cs="Times New Roman"/>
          <w:sz w:val="28"/>
          <w:szCs w:val="28"/>
        </w:rPr>
        <w:t>б утверждении порядка разработки и утверждения</w:t>
      </w:r>
    </w:p>
    <w:p w:rsidR="00DE5708" w:rsidRPr="00DE5708" w:rsidRDefault="00DE5708" w:rsidP="00DE57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>схемы размещения нестационарных торговых объектов</w:t>
      </w:r>
    </w:p>
    <w:p w:rsidR="00DE5708" w:rsidRPr="00DE5708" w:rsidRDefault="00DE5708" w:rsidP="00DE57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 территории городского округа Т</w:t>
      </w:r>
      <w:r w:rsidRPr="00DE5708">
        <w:rPr>
          <w:rFonts w:ascii="Times New Roman" w:hAnsi="Times New Roman" w:cs="Times New Roman"/>
          <w:sz w:val="28"/>
          <w:szCs w:val="28"/>
        </w:rPr>
        <w:t>ейково</w:t>
      </w:r>
    </w:p>
    <w:p w:rsidR="00DE5708" w:rsidRPr="00DE5708" w:rsidRDefault="00DE5708" w:rsidP="00DE570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E5708" w:rsidRPr="00DE5708" w:rsidRDefault="00DE57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DE5708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28.12.2009 N 381-ФЗ «</w:t>
      </w:r>
      <w:r w:rsidRPr="00DE5708">
        <w:rPr>
          <w:rFonts w:ascii="Times New Roman" w:hAnsi="Times New Roman" w:cs="Times New Roman"/>
          <w:sz w:val="28"/>
          <w:szCs w:val="28"/>
        </w:rPr>
        <w:t>Об основах государственного регулирования торговой деят</w:t>
      </w:r>
      <w:r>
        <w:rPr>
          <w:rFonts w:ascii="Times New Roman" w:hAnsi="Times New Roman" w:cs="Times New Roman"/>
          <w:sz w:val="28"/>
          <w:szCs w:val="28"/>
        </w:rPr>
        <w:t>ельности в Российской Федерации»</w:t>
      </w:r>
      <w:r w:rsidRPr="00DE5708">
        <w:rPr>
          <w:rFonts w:ascii="Times New Roman" w:hAnsi="Times New Roman" w:cs="Times New Roman"/>
          <w:sz w:val="28"/>
          <w:szCs w:val="28"/>
        </w:rPr>
        <w:t>, администрация городского округа Тейково постановляет:</w:t>
      </w:r>
    </w:p>
    <w:p w:rsidR="00DE5708" w:rsidRPr="00DE5708" w:rsidRDefault="00DE57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5708" w:rsidRPr="00DE5708" w:rsidRDefault="00DE57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29" w:history="1">
        <w:r w:rsidRPr="00DE5708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DE5708">
        <w:rPr>
          <w:rFonts w:ascii="Times New Roman" w:hAnsi="Times New Roman" w:cs="Times New Roman"/>
          <w:sz w:val="28"/>
          <w:szCs w:val="28"/>
        </w:rPr>
        <w:t xml:space="preserve"> разработки и утверждения схемы размещения нестационарных торговых объектов на территории городского округа Тейково (Приложение).</w:t>
      </w:r>
    </w:p>
    <w:p w:rsidR="00DE5708" w:rsidRPr="00DE5708" w:rsidRDefault="00DE57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5708" w:rsidRPr="00DE5708" w:rsidRDefault="00DE57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Вестнике органов местного самоуправления городского округа Тейково, а также разместить на официальном сайте городского округа Тейково в сети Интернет.</w:t>
      </w:r>
    </w:p>
    <w:p w:rsidR="00DE5708" w:rsidRPr="00DE5708" w:rsidRDefault="00DE57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5708" w:rsidRPr="00DE5708" w:rsidRDefault="00DE57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>3. Контроль исполнения настоящего постановления возложить на заместителя главы администрации городского округа Тейково (по финансово-экономическим вопросам) Ежова О.В.</w:t>
      </w:r>
    </w:p>
    <w:p w:rsidR="00DE5708" w:rsidRPr="00DE5708" w:rsidRDefault="00DE57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5708" w:rsidRPr="00DE5708" w:rsidRDefault="00DE570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DE5708" w:rsidRPr="00DE5708" w:rsidRDefault="00DE570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>городского округа Тейково</w:t>
      </w:r>
    </w:p>
    <w:p w:rsidR="00DE5708" w:rsidRPr="00DE5708" w:rsidRDefault="00DE570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>Е.Л.</w:t>
      </w:r>
      <w:r w:rsidR="00E124D0">
        <w:rPr>
          <w:rFonts w:ascii="Times New Roman" w:hAnsi="Times New Roman" w:cs="Times New Roman"/>
          <w:sz w:val="28"/>
          <w:szCs w:val="28"/>
        </w:rPr>
        <w:t xml:space="preserve"> </w:t>
      </w:r>
      <w:r w:rsidRPr="00DE5708">
        <w:rPr>
          <w:rFonts w:ascii="Times New Roman" w:hAnsi="Times New Roman" w:cs="Times New Roman"/>
          <w:sz w:val="28"/>
          <w:szCs w:val="28"/>
        </w:rPr>
        <w:t>Н</w:t>
      </w:r>
      <w:r w:rsidR="00E124D0">
        <w:rPr>
          <w:rFonts w:ascii="Times New Roman" w:hAnsi="Times New Roman" w:cs="Times New Roman"/>
          <w:sz w:val="28"/>
          <w:szCs w:val="28"/>
        </w:rPr>
        <w:t>естеров</w:t>
      </w:r>
    </w:p>
    <w:p w:rsidR="00DE5708" w:rsidRPr="00DE5708" w:rsidRDefault="00DE570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E5708" w:rsidRPr="00DE5708" w:rsidRDefault="00DE570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E5708" w:rsidRPr="00DE5708" w:rsidRDefault="00DE570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E5708" w:rsidRPr="00DE5708" w:rsidRDefault="00DE570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E5708" w:rsidRPr="00DE5708" w:rsidRDefault="00DE570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E5708" w:rsidRPr="00DE5708" w:rsidRDefault="00DE570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E5708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DE5708" w:rsidRPr="00DE5708" w:rsidRDefault="00DE570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E5708" w:rsidRPr="00DE5708" w:rsidRDefault="00DE57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9"/>
      <w:bookmarkEnd w:id="0"/>
      <w:r>
        <w:rPr>
          <w:rFonts w:ascii="Times New Roman" w:hAnsi="Times New Roman" w:cs="Times New Roman"/>
          <w:sz w:val="28"/>
          <w:szCs w:val="28"/>
        </w:rPr>
        <w:t>П</w:t>
      </w:r>
      <w:r w:rsidRPr="00DE5708">
        <w:rPr>
          <w:rFonts w:ascii="Times New Roman" w:hAnsi="Times New Roman" w:cs="Times New Roman"/>
          <w:sz w:val="28"/>
          <w:szCs w:val="28"/>
        </w:rPr>
        <w:t>орядок</w:t>
      </w:r>
    </w:p>
    <w:p w:rsidR="00DE5708" w:rsidRPr="00DE5708" w:rsidRDefault="00DE57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 xml:space="preserve">разработки и утверждения схемы размещения </w:t>
      </w:r>
      <w:proofErr w:type="gramStart"/>
      <w:r w:rsidRPr="00DE5708">
        <w:rPr>
          <w:rFonts w:ascii="Times New Roman" w:hAnsi="Times New Roman" w:cs="Times New Roman"/>
          <w:sz w:val="28"/>
          <w:szCs w:val="28"/>
        </w:rPr>
        <w:t>нестационарных</w:t>
      </w:r>
      <w:proofErr w:type="gramEnd"/>
    </w:p>
    <w:p w:rsidR="00DE5708" w:rsidRPr="00DE5708" w:rsidRDefault="00DE57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>торговых объектов н</w:t>
      </w:r>
      <w:r>
        <w:rPr>
          <w:rFonts w:ascii="Times New Roman" w:hAnsi="Times New Roman" w:cs="Times New Roman"/>
          <w:sz w:val="28"/>
          <w:szCs w:val="28"/>
        </w:rPr>
        <w:t>а территории городского округа Т</w:t>
      </w:r>
      <w:r w:rsidRPr="00DE5708">
        <w:rPr>
          <w:rFonts w:ascii="Times New Roman" w:hAnsi="Times New Roman" w:cs="Times New Roman"/>
          <w:sz w:val="28"/>
          <w:szCs w:val="28"/>
        </w:rPr>
        <w:t>ейково</w:t>
      </w:r>
    </w:p>
    <w:p w:rsidR="00DE5708" w:rsidRPr="00DE5708" w:rsidRDefault="00DE57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5708" w:rsidRPr="00DE5708" w:rsidRDefault="00DE570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DE5708" w:rsidRPr="00DE5708" w:rsidRDefault="00DE57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5708" w:rsidRPr="00DE5708" w:rsidRDefault="00DE57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E5708">
        <w:rPr>
          <w:rFonts w:ascii="Times New Roman" w:hAnsi="Times New Roman" w:cs="Times New Roman"/>
          <w:sz w:val="28"/>
          <w:szCs w:val="28"/>
        </w:rPr>
        <w:t xml:space="preserve">Порядок разработки и утверждения схемы размещения нестационарных торговых объектов (далее - Порядок) разработан в целях реализации требований Федерального </w:t>
      </w:r>
      <w:hyperlink r:id="rId6" w:history="1">
        <w:r w:rsidRPr="00DE5708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DE5708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28 декабря 2009 года N 381-ФЗ «</w:t>
      </w:r>
      <w:r w:rsidRPr="00DE5708">
        <w:rPr>
          <w:rFonts w:ascii="Times New Roman" w:hAnsi="Times New Roman" w:cs="Times New Roman"/>
          <w:sz w:val="28"/>
          <w:szCs w:val="28"/>
        </w:rPr>
        <w:t>Об основах государственного регулирования торговой деят</w:t>
      </w:r>
      <w:r>
        <w:rPr>
          <w:rFonts w:ascii="Times New Roman" w:hAnsi="Times New Roman" w:cs="Times New Roman"/>
          <w:sz w:val="28"/>
          <w:szCs w:val="28"/>
        </w:rPr>
        <w:t>ельности в Российской Федерации»</w:t>
      </w:r>
      <w:r w:rsidRPr="00DE5708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DE5708"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 w:rsidRPr="00DE5708">
        <w:rPr>
          <w:rFonts w:ascii="Times New Roman" w:hAnsi="Times New Roman" w:cs="Times New Roman"/>
          <w:sz w:val="28"/>
          <w:szCs w:val="28"/>
        </w:rPr>
        <w:t xml:space="preserve"> Департамента экономического развития и торговли Ивановской области от 18 февраля 2011 года N 13-п "О порядке разработки и утверждения органами местного самоуправления муниципальных образований Ивановской</w:t>
      </w:r>
      <w:proofErr w:type="gramEnd"/>
      <w:r w:rsidRPr="00DE5708">
        <w:rPr>
          <w:rFonts w:ascii="Times New Roman" w:hAnsi="Times New Roman" w:cs="Times New Roman"/>
          <w:sz w:val="28"/>
          <w:szCs w:val="28"/>
        </w:rPr>
        <w:t xml:space="preserve"> области схем размещения нестационарных торговых объектов".</w:t>
      </w:r>
    </w:p>
    <w:p w:rsidR="00DE5708" w:rsidRPr="00DE5708" w:rsidRDefault="00DE57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>2. Требования Порядка не распространяются на отношения, связанные с размещением нестационарных торговых объектов:</w:t>
      </w:r>
    </w:p>
    <w:p w:rsidR="00DE5708" w:rsidRPr="00DE5708" w:rsidRDefault="00DE57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>- при проведении праздничных, общественно-политических, культурно-массовых и спортивных мероприятий, имеющих временный характер;</w:t>
      </w:r>
    </w:p>
    <w:p w:rsidR="00DE5708" w:rsidRPr="00DE5708" w:rsidRDefault="00DE57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>- при проведении ярмарок, выставок-ярмарок.</w:t>
      </w:r>
    </w:p>
    <w:p w:rsidR="00DE5708" w:rsidRPr="00DE5708" w:rsidRDefault="00DE57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5708" w:rsidRPr="00DE5708" w:rsidRDefault="00DE570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>II. Основные понятия</w:t>
      </w:r>
    </w:p>
    <w:p w:rsidR="00DE5708" w:rsidRPr="00DE5708" w:rsidRDefault="00DE57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5708" w:rsidRPr="00DE5708" w:rsidRDefault="00DE57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>3. Для целей Порядка используются следующие основные понятия:</w:t>
      </w:r>
    </w:p>
    <w:p w:rsidR="00DE5708" w:rsidRPr="00DE5708" w:rsidRDefault="00DE57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 xml:space="preserve">- нестационарный торговый объект - торговый объект, представляющий собой временное сооружение или временную конструкцию, не связанные прочно с земельным участком, вне зависимости от присоединения или неприсоединения к сетям инженерно-технического обеспечения, в том числе передвижное сооружение. К нестационарным торговым объектам относятся павильоны, киоски, палатки, лотки, площадки для сезонной торговли, </w:t>
      </w:r>
      <w:proofErr w:type="spellStart"/>
      <w:r w:rsidRPr="00DE5708">
        <w:rPr>
          <w:rFonts w:ascii="Times New Roman" w:hAnsi="Times New Roman" w:cs="Times New Roman"/>
          <w:sz w:val="28"/>
          <w:szCs w:val="28"/>
        </w:rPr>
        <w:t>тонары</w:t>
      </w:r>
      <w:proofErr w:type="spellEnd"/>
      <w:r w:rsidRPr="00DE5708">
        <w:rPr>
          <w:rFonts w:ascii="Times New Roman" w:hAnsi="Times New Roman" w:cs="Times New Roman"/>
          <w:sz w:val="28"/>
          <w:szCs w:val="28"/>
        </w:rPr>
        <w:t>, объекты развозной и разносной торговли и другие;</w:t>
      </w:r>
    </w:p>
    <w:p w:rsidR="00DE5708" w:rsidRPr="00DE5708" w:rsidRDefault="00DE57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>- схема размещения нестационарных торговых объектов - схема, определяющая места размещения нестационарных торговых объектов на земельных участках, в зданиях, строениях, сооружениях, находящихся в государственной или муниципальной собственности.</w:t>
      </w:r>
    </w:p>
    <w:p w:rsidR="00DE5708" w:rsidRPr="00DE5708" w:rsidRDefault="00DE57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5708" w:rsidRPr="00DE5708" w:rsidRDefault="00DE570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>III. Требования к порядку разработки и утверждения</w:t>
      </w:r>
    </w:p>
    <w:p w:rsidR="00DE5708" w:rsidRPr="00DE5708" w:rsidRDefault="00DE57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>схемы размещения нестационарных торговых объектов</w:t>
      </w:r>
    </w:p>
    <w:p w:rsidR="00DE5708" w:rsidRPr="00DE5708" w:rsidRDefault="00DE57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5708" w:rsidRPr="00DE5708" w:rsidRDefault="00DE57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lastRenderedPageBreak/>
        <w:t xml:space="preserve">4. Размещение нестационарных торговых объектов на земельных участках, в зданиях, строениях, сооружениях, находящихся в муниципальной собственности, осуществляется в соответствии со </w:t>
      </w:r>
      <w:hyperlink w:anchor="P79" w:history="1">
        <w:r w:rsidRPr="00DE5708">
          <w:rPr>
            <w:rFonts w:ascii="Times New Roman" w:hAnsi="Times New Roman" w:cs="Times New Roman"/>
            <w:color w:val="0000FF"/>
            <w:sz w:val="28"/>
            <w:szCs w:val="28"/>
          </w:rPr>
          <w:t>схемой</w:t>
        </w:r>
      </w:hyperlink>
      <w:r w:rsidRPr="00DE5708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(приложение).</w:t>
      </w:r>
    </w:p>
    <w:p w:rsidR="00DE5708" w:rsidRPr="00DE5708" w:rsidRDefault="00DE57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>5. Схема размещения нестационарных торговых объектов разрабатывается комитетом экономического развития и торговли администрации городского округа Тейково.</w:t>
      </w:r>
    </w:p>
    <w:p w:rsidR="00DE5708" w:rsidRPr="00DE5708" w:rsidRDefault="00DE57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>6. Разработанная схема размещения нестационарных торговых объектов утверждается постановлением администрации городского округа Тейково.</w:t>
      </w:r>
    </w:p>
    <w:p w:rsidR="00DE5708" w:rsidRPr="00DE5708" w:rsidRDefault="00DE57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>Внесение изменений в схему размещения нестационарных торговых объектов осуществляется в порядке, установленном для ее разработки и утверждения.</w:t>
      </w:r>
    </w:p>
    <w:p w:rsidR="00DE5708" w:rsidRPr="00DE5708" w:rsidRDefault="00DE57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 xml:space="preserve">7. При разработке схемы размещения учитываются требования законодательства Российской Федерации в области обеспечения санитарно-эпидемиологического благополучия населения, охраны окружающей среды, пожарной безопасности, а также </w:t>
      </w:r>
      <w:hyperlink r:id="rId8" w:history="1">
        <w:r w:rsidRPr="00DE5708">
          <w:rPr>
            <w:rFonts w:ascii="Times New Roman" w:hAnsi="Times New Roman" w:cs="Times New Roman"/>
            <w:color w:val="0000FF"/>
            <w:sz w:val="28"/>
            <w:szCs w:val="28"/>
          </w:rPr>
          <w:t>Правила</w:t>
        </w:r>
      </w:hyperlink>
      <w:r w:rsidRPr="00DE5708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городского округа Тейково Ивановской области.</w:t>
      </w:r>
    </w:p>
    <w:p w:rsidR="00DE5708" w:rsidRPr="00DE5708" w:rsidRDefault="00DE57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>8. Разработанная схема размещения нестационарных торговых объектов должна обеспечивать:</w:t>
      </w:r>
    </w:p>
    <w:p w:rsidR="00DE5708" w:rsidRPr="00DE5708" w:rsidRDefault="00DE57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>- повышение доступности товаров для населения;</w:t>
      </w:r>
    </w:p>
    <w:p w:rsidR="00DE5708" w:rsidRPr="00DE5708" w:rsidRDefault="00DE57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>- содействие развитию торговли товарами российских производителей.</w:t>
      </w:r>
    </w:p>
    <w:p w:rsidR="00DE5708" w:rsidRPr="00DE5708" w:rsidRDefault="00DE57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>9. Схема размещения нестационарных торговых объектов должна содержать:</w:t>
      </w:r>
    </w:p>
    <w:p w:rsidR="00DE5708" w:rsidRPr="00DE5708" w:rsidRDefault="00DE57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>- место нахождения, адрес, площадь земельного участка, сооружения каждого места размещения нестационарного торгового объекта;</w:t>
      </w:r>
    </w:p>
    <w:p w:rsidR="00DE5708" w:rsidRPr="00DE5708" w:rsidRDefault="00DE57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>- вид нестационарного торгового объекта;</w:t>
      </w:r>
    </w:p>
    <w:p w:rsidR="00DE5708" w:rsidRPr="00DE5708" w:rsidRDefault="00DE57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>- площадь нестационарного торгового объекта;</w:t>
      </w:r>
    </w:p>
    <w:p w:rsidR="00DE5708" w:rsidRPr="00DE5708" w:rsidRDefault="00DE57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>- ассортимент реализуемых товаров (продовольственные, непродовольственные товары);</w:t>
      </w:r>
    </w:p>
    <w:p w:rsidR="00DE5708" w:rsidRPr="00DE5708" w:rsidRDefault="00DE57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>- срок размещения нестационарного торгового объекта.</w:t>
      </w:r>
    </w:p>
    <w:p w:rsidR="00DE5708" w:rsidRPr="00DE5708" w:rsidRDefault="00DE57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>10. Схемой размещения нестационарных торговых объектов должно предусматриваться размещение не менее шестидесяти процентов нестационарных торговых объектов, используемых субъектами малого или среднего предпринимательства, осуществляющими торговую деятельность, от общего количества нестационарных торговых объектов.</w:t>
      </w:r>
    </w:p>
    <w:p w:rsidR="00DE5708" w:rsidRPr="00DE5708" w:rsidRDefault="00DE57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lastRenderedPageBreak/>
        <w:t>11. Схема размещения нестационарных торговых объектов и вносимые в нее изменения подлежат опубликованию в Вестнике органов местного самоуправления городского округа Тейково, а также на официальном сайте городского округа Тейково в сети Интернет.</w:t>
      </w:r>
    </w:p>
    <w:p w:rsidR="00DE5708" w:rsidRPr="00DE5708" w:rsidRDefault="00DE57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>12. Утверждение схемы размещения нестационарных торговых объектов и внесенные в нее изменения не могут служить основанием для пересмотра мест размещения нестационарных торговых объектов, строительство, реконструкция или эксплуатация которых были начаты до утверждения указанной схемы.</w:t>
      </w:r>
    </w:p>
    <w:p w:rsidR="00DE5708" w:rsidRPr="00DE5708" w:rsidRDefault="00DE57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>Такие нестационарные торговые объекты включаются в новую схему размещения нестационарных торговых объектов как действующие, если они размещены в соответствии с действующим законодательством Российской Федерации.</w:t>
      </w:r>
    </w:p>
    <w:p w:rsidR="00DE5708" w:rsidRPr="00DE5708" w:rsidRDefault="00DE57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708">
        <w:rPr>
          <w:rFonts w:ascii="Times New Roman" w:hAnsi="Times New Roman" w:cs="Times New Roman"/>
          <w:sz w:val="28"/>
          <w:szCs w:val="28"/>
        </w:rPr>
        <w:t xml:space="preserve">13. Для размещения на официальном сайте Департамента экономического развития и торговли Ивановской </w:t>
      </w:r>
      <w:proofErr w:type="gramStart"/>
      <w:r w:rsidRPr="00DE5708"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 w:rsidRPr="00DE5708">
        <w:rPr>
          <w:rFonts w:ascii="Times New Roman" w:hAnsi="Times New Roman" w:cs="Times New Roman"/>
          <w:sz w:val="28"/>
          <w:szCs w:val="28"/>
        </w:rPr>
        <w:t xml:space="preserve"> утвержденные схемы размещения и вносимые в них изменения в течение 5 дней представляются в Департамент экономического развития и торговли Ивановской области в электронном виде и на бумажном носителе.</w:t>
      </w:r>
    </w:p>
    <w:p w:rsidR="00DE5708" w:rsidRPr="00DE5708" w:rsidRDefault="00DE57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5708" w:rsidRPr="00DE5708" w:rsidRDefault="00DE57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E5708" w:rsidRPr="00DE5708" w:rsidRDefault="00DE570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E5708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DE5708" w:rsidRPr="00DE5708" w:rsidRDefault="00DE570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E5708">
        <w:rPr>
          <w:rFonts w:ascii="Times New Roman" w:hAnsi="Times New Roman" w:cs="Times New Roman"/>
          <w:sz w:val="24"/>
          <w:szCs w:val="24"/>
        </w:rPr>
        <w:t>к Порядку</w:t>
      </w:r>
    </w:p>
    <w:p w:rsidR="00DE5708" w:rsidRPr="00DE5708" w:rsidRDefault="00DE570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E5708">
        <w:rPr>
          <w:rFonts w:ascii="Times New Roman" w:hAnsi="Times New Roman" w:cs="Times New Roman"/>
          <w:sz w:val="24"/>
          <w:szCs w:val="24"/>
        </w:rPr>
        <w:t>разработки и утверждения схемы</w:t>
      </w:r>
    </w:p>
    <w:p w:rsidR="00DE5708" w:rsidRPr="00DE5708" w:rsidRDefault="00DE570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E5708">
        <w:rPr>
          <w:rFonts w:ascii="Times New Roman" w:hAnsi="Times New Roman" w:cs="Times New Roman"/>
          <w:sz w:val="24"/>
          <w:szCs w:val="24"/>
        </w:rPr>
        <w:t>размещения нестационарных торговых объектов</w:t>
      </w:r>
    </w:p>
    <w:p w:rsidR="00DE5708" w:rsidRPr="00DE5708" w:rsidRDefault="00DE570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E5708">
        <w:rPr>
          <w:rFonts w:ascii="Times New Roman" w:hAnsi="Times New Roman" w:cs="Times New Roman"/>
          <w:sz w:val="24"/>
          <w:szCs w:val="24"/>
        </w:rPr>
        <w:t>на территории городского округа Тейково</w:t>
      </w:r>
    </w:p>
    <w:p w:rsidR="00DE5708" w:rsidRPr="00DE5708" w:rsidRDefault="00DE57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9"/>
      <w:bookmarkEnd w:id="1"/>
    </w:p>
    <w:p w:rsidR="00DE5708" w:rsidRPr="00DE5708" w:rsidRDefault="00DE5708" w:rsidP="00DE57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</w:t>
      </w:r>
      <w:r w:rsidRPr="00DE5708"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</w:t>
      </w:r>
    </w:p>
    <w:p w:rsidR="00DE5708" w:rsidRDefault="00DE57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0"/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531"/>
        <w:gridCol w:w="1134"/>
        <w:gridCol w:w="1247"/>
        <w:gridCol w:w="1077"/>
        <w:gridCol w:w="1077"/>
        <w:gridCol w:w="1531"/>
        <w:gridCol w:w="1531"/>
      </w:tblGrid>
      <w:tr w:rsidR="00DE5708" w:rsidRPr="00DE5708" w:rsidTr="00DE5708">
        <w:tc>
          <w:tcPr>
            <w:tcW w:w="567" w:type="dxa"/>
          </w:tcPr>
          <w:p w:rsidR="00DE5708" w:rsidRPr="00DE5708" w:rsidRDefault="00DE5708" w:rsidP="00DE57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08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DE57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E570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DE57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31" w:type="dxa"/>
          </w:tcPr>
          <w:p w:rsidR="00DE5708" w:rsidRPr="00DE5708" w:rsidRDefault="00DE5708" w:rsidP="00DE57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08">
              <w:rPr>
                <w:rFonts w:ascii="Times New Roman" w:hAnsi="Times New Roman" w:cs="Times New Roman"/>
                <w:sz w:val="28"/>
                <w:szCs w:val="28"/>
              </w:rPr>
              <w:t>Адрес нестационарного торгового объекта</w:t>
            </w:r>
          </w:p>
        </w:tc>
        <w:tc>
          <w:tcPr>
            <w:tcW w:w="1134" w:type="dxa"/>
          </w:tcPr>
          <w:p w:rsidR="00DE5708" w:rsidRPr="00DE5708" w:rsidRDefault="00DE5708" w:rsidP="00DE57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08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</w:t>
            </w:r>
          </w:p>
        </w:tc>
        <w:tc>
          <w:tcPr>
            <w:tcW w:w="1247" w:type="dxa"/>
          </w:tcPr>
          <w:p w:rsidR="00DE5708" w:rsidRPr="00DE5708" w:rsidRDefault="00DE5708" w:rsidP="00DE57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08">
              <w:rPr>
                <w:rFonts w:ascii="Times New Roman" w:hAnsi="Times New Roman" w:cs="Times New Roman"/>
                <w:sz w:val="28"/>
                <w:szCs w:val="28"/>
              </w:rPr>
              <w:t>Вид нестационарного торгового объекта</w:t>
            </w:r>
          </w:p>
        </w:tc>
        <w:tc>
          <w:tcPr>
            <w:tcW w:w="1077" w:type="dxa"/>
          </w:tcPr>
          <w:p w:rsidR="00DE5708" w:rsidRPr="00DE5708" w:rsidRDefault="00DE5708" w:rsidP="00DE57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08">
              <w:rPr>
                <w:rFonts w:ascii="Times New Roman" w:hAnsi="Times New Roman" w:cs="Times New Roman"/>
                <w:sz w:val="28"/>
                <w:szCs w:val="28"/>
              </w:rPr>
              <w:t>Площадь нестационарного торгового объекта</w:t>
            </w:r>
          </w:p>
        </w:tc>
        <w:tc>
          <w:tcPr>
            <w:tcW w:w="1077" w:type="dxa"/>
          </w:tcPr>
          <w:p w:rsidR="00DE5708" w:rsidRPr="00DE5708" w:rsidRDefault="00DE5708" w:rsidP="00DE57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08">
              <w:rPr>
                <w:rFonts w:ascii="Times New Roman" w:hAnsi="Times New Roman" w:cs="Times New Roman"/>
                <w:sz w:val="28"/>
                <w:szCs w:val="28"/>
              </w:rPr>
              <w:t>Ассортимент реализуемых товаров</w:t>
            </w:r>
          </w:p>
        </w:tc>
        <w:tc>
          <w:tcPr>
            <w:tcW w:w="1531" w:type="dxa"/>
          </w:tcPr>
          <w:p w:rsidR="00DE5708" w:rsidRPr="00DE5708" w:rsidRDefault="00DE5708" w:rsidP="00DE57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08">
              <w:rPr>
                <w:rFonts w:ascii="Times New Roman" w:hAnsi="Times New Roman" w:cs="Times New Roman"/>
                <w:sz w:val="28"/>
                <w:szCs w:val="28"/>
              </w:rPr>
              <w:t>Информация об использовании нестационарного торгового объекта хозяйствующим субъектом</w:t>
            </w:r>
          </w:p>
        </w:tc>
        <w:tc>
          <w:tcPr>
            <w:tcW w:w="1531" w:type="dxa"/>
          </w:tcPr>
          <w:p w:rsidR="00DE5708" w:rsidRPr="00DE5708" w:rsidRDefault="00DE5708" w:rsidP="00DE57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08">
              <w:rPr>
                <w:rFonts w:ascii="Times New Roman" w:hAnsi="Times New Roman" w:cs="Times New Roman"/>
                <w:sz w:val="28"/>
                <w:szCs w:val="28"/>
              </w:rPr>
              <w:t>Срок размещения нестационарного торгового объекта</w:t>
            </w:r>
          </w:p>
        </w:tc>
      </w:tr>
      <w:tr w:rsidR="00DE5708" w:rsidRPr="00DE5708" w:rsidTr="00DE5708">
        <w:tc>
          <w:tcPr>
            <w:tcW w:w="567" w:type="dxa"/>
          </w:tcPr>
          <w:p w:rsidR="00DE5708" w:rsidRPr="00DE5708" w:rsidRDefault="00DE5708" w:rsidP="00DE57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1" w:type="dxa"/>
          </w:tcPr>
          <w:p w:rsidR="00DE5708" w:rsidRPr="00DE5708" w:rsidRDefault="00DE5708" w:rsidP="00DE57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DE5708" w:rsidRPr="00DE5708" w:rsidRDefault="00DE5708" w:rsidP="00DE57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7" w:type="dxa"/>
          </w:tcPr>
          <w:p w:rsidR="00DE5708" w:rsidRPr="00DE5708" w:rsidRDefault="00DE5708" w:rsidP="00DE57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77" w:type="dxa"/>
          </w:tcPr>
          <w:p w:rsidR="00DE5708" w:rsidRPr="00DE5708" w:rsidRDefault="00DE5708" w:rsidP="00DE57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7" w:type="dxa"/>
          </w:tcPr>
          <w:p w:rsidR="00DE5708" w:rsidRPr="00DE5708" w:rsidRDefault="00DE5708" w:rsidP="00DE57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31" w:type="dxa"/>
          </w:tcPr>
          <w:p w:rsidR="00DE5708" w:rsidRPr="00DE5708" w:rsidRDefault="00DE5708" w:rsidP="00DE57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0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31" w:type="dxa"/>
          </w:tcPr>
          <w:p w:rsidR="00DE5708" w:rsidRPr="00DE5708" w:rsidRDefault="00DE5708" w:rsidP="00DE57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0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E5708" w:rsidRPr="00DE5708" w:rsidTr="00DE5708">
        <w:tc>
          <w:tcPr>
            <w:tcW w:w="567" w:type="dxa"/>
          </w:tcPr>
          <w:p w:rsidR="00DE5708" w:rsidRPr="00DE5708" w:rsidRDefault="00DE5708" w:rsidP="00DE57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DE5708" w:rsidRPr="00DE5708" w:rsidRDefault="00DE5708" w:rsidP="00DE57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E5708" w:rsidRPr="00DE5708" w:rsidRDefault="00DE5708" w:rsidP="00DE57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DE5708" w:rsidRPr="00DE5708" w:rsidRDefault="00DE5708" w:rsidP="00DE57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DE5708" w:rsidRPr="00DE5708" w:rsidRDefault="00DE5708" w:rsidP="00DE57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DE5708" w:rsidRPr="00DE5708" w:rsidRDefault="00DE5708" w:rsidP="00DE57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DE5708" w:rsidRPr="00DE5708" w:rsidRDefault="00DE5708" w:rsidP="00DE57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DE5708" w:rsidRPr="00DE5708" w:rsidRDefault="00DE5708" w:rsidP="00DE57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5708" w:rsidRDefault="00DE57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E5708" w:rsidRPr="00DE5708" w:rsidRDefault="00DE5708" w:rsidP="00DE57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E5708" w:rsidRDefault="00DE57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E5708" w:rsidRPr="00DE5708" w:rsidRDefault="00DE57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E5708" w:rsidRPr="00DE5708" w:rsidRDefault="00DE5708">
      <w:pPr>
        <w:rPr>
          <w:sz w:val="28"/>
          <w:szCs w:val="28"/>
        </w:rPr>
        <w:sectPr w:rsidR="00DE5708" w:rsidRPr="00DE5708" w:rsidSect="00DD72B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5708" w:rsidRPr="00DE5708" w:rsidRDefault="00DE570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E5708" w:rsidRPr="00DE5708" w:rsidRDefault="00DE570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11ABB" w:rsidRPr="00DE5708" w:rsidRDefault="00C11ABB">
      <w:pPr>
        <w:rPr>
          <w:sz w:val="28"/>
          <w:szCs w:val="28"/>
        </w:rPr>
      </w:pPr>
    </w:p>
    <w:sectPr w:rsidR="00C11ABB" w:rsidRPr="00DE5708" w:rsidSect="00313EC5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E5708"/>
    <w:rsid w:val="005C73D4"/>
    <w:rsid w:val="00C11ABB"/>
    <w:rsid w:val="00DE5708"/>
    <w:rsid w:val="00E12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70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57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E57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E570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57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7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24F16FB93B04B4E6810343DC6B4795356670BE204D1008DF7134EF6E3383C786CEC214B9252E630F5A3AB398C54BDD9D8926101C60EAE3E1C86B5Ei1pB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F24F16FB93B04B4E6810343DC6B4795356670BE244A1309DD7B69E5666A8FC581C19D03BE6C22620F5A3BB49A9A4EC88CD12A10037FE9FFFDCA6Ai5p6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F24F16FB93B04B4E6811D4ECA071B9A326D2FB4294F185E812432B831638592C68EC441FA61226308516EE2D59B128DD8C22A13037CEBE0iFp6M" TargetMode="External"/><Relationship Id="rId5" Type="http://schemas.openxmlformats.org/officeDocument/2006/relationships/hyperlink" Target="consultantplus://offline/ref=BF24F16FB93B04B4E6811D4ECA071B9A326D2FB4294F185E812432B831638592C68EC441FA61226308516EE2D59B128DD8C22A13037CEBE0iFp6M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1072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Карманова Надежда Николаевна</dc:creator>
  <cp:keywords/>
  <dc:description/>
  <cp:lastModifiedBy>Карманова Надежда Николаевна</cp:lastModifiedBy>
  <cp:revision>2</cp:revision>
  <dcterms:created xsi:type="dcterms:W3CDTF">2019-12-11T12:41:00Z</dcterms:created>
  <dcterms:modified xsi:type="dcterms:W3CDTF">2019-12-11T12:49:00Z</dcterms:modified>
</cp:coreProperties>
</file>