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09A" w:rsidRPr="006A1661" w:rsidRDefault="0074509A" w:rsidP="0074509A">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74509A" w:rsidRPr="006A1661" w:rsidRDefault="0074509A" w:rsidP="0074509A">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74509A" w:rsidRPr="006A1661" w:rsidRDefault="0074509A" w:rsidP="0074509A">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о</w:t>
      </w:r>
      <w:r w:rsidRPr="006A1661">
        <w:rPr>
          <w:rFonts w:ascii="Times New Roman" w:hAnsi="Times New Roman" w:cs="Times New Roman"/>
          <w:b/>
          <w:bCs/>
          <w:sz w:val="28"/>
          <w:szCs w:val="28"/>
        </w:rPr>
        <w:t>т</w:t>
      </w:r>
      <w:r>
        <w:rPr>
          <w:rFonts w:ascii="Times New Roman" w:hAnsi="Times New Roman" w:cs="Times New Roman"/>
          <w:b/>
          <w:bCs/>
          <w:sz w:val="28"/>
          <w:szCs w:val="28"/>
        </w:rPr>
        <w:t xml:space="preserve">                                </w:t>
      </w:r>
      <w:r w:rsidRPr="006A1661">
        <w:rPr>
          <w:rFonts w:ascii="Times New Roman" w:hAnsi="Times New Roman" w:cs="Times New Roman"/>
          <w:b/>
          <w:bCs/>
          <w:sz w:val="28"/>
          <w:szCs w:val="28"/>
        </w:rPr>
        <w:t>№</w:t>
      </w:r>
      <w:r>
        <w:rPr>
          <w:rFonts w:ascii="Times New Roman" w:hAnsi="Times New Roman" w:cs="Times New Roman"/>
          <w:b/>
          <w:bCs/>
          <w:sz w:val="28"/>
          <w:szCs w:val="28"/>
        </w:rPr>
        <w:t xml:space="preserve"> </w:t>
      </w: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74509A" w:rsidRPr="006A1661" w:rsidRDefault="0074509A" w:rsidP="0074509A">
      <w:pPr>
        <w:spacing w:after="0" w:line="240" w:lineRule="auto"/>
        <w:ind w:right="-1"/>
        <w:jc w:val="center"/>
        <w:rPr>
          <w:rFonts w:ascii="Times New Roman" w:hAnsi="Times New Roman" w:cs="Times New Roman"/>
          <w:bCs/>
          <w:sz w:val="28"/>
          <w:szCs w:val="28"/>
        </w:rPr>
      </w:pPr>
    </w:p>
    <w:p w:rsidR="0074509A" w:rsidRP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sidRPr="0074509A">
        <w:rPr>
          <w:rFonts w:ascii="Times New Roman" w:hAnsi="Times New Roman" w:cs="Times New Roman"/>
          <w:b/>
          <w:bCs/>
          <w:sz w:val="28"/>
          <w:szCs w:val="28"/>
        </w:rPr>
        <w:t>Прог</w:t>
      </w:r>
      <w:r>
        <w:rPr>
          <w:rFonts w:ascii="Times New Roman" w:hAnsi="Times New Roman" w:cs="Times New Roman"/>
          <w:b/>
          <w:bCs/>
          <w:sz w:val="28"/>
          <w:szCs w:val="28"/>
        </w:rPr>
        <w:t>раммы</w:t>
      </w:r>
      <w:r w:rsidRPr="0074509A">
        <w:rPr>
          <w:rFonts w:ascii="Times New Roman" w:hAnsi="Times New Roman" w:cs="Times New Roman"/>
          <w:b/>
          <w:bCs/>
          <w:sz w:val="28"/>
          <w:szCs w:val="28"/>
        </w:rPr>
        <w:t xml:space="preserve"> профилактики рисков </w:t>
      </w:r>
    </w:p>
    <w:p w:rsidR="0074509A" w:rsidRP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4509A">
        <w:rPr>
          <w:rFonts w:ascii="Times New Roman" w:hAnsi="Times New Roman" w:cs="Times New Roman"/>
          <w:b/>
          <w:bCs/>
          <w:sz w:val="28"/>
          <w:szCs w:val="28"/>
        </w:rPr>
        <w:t xml:space="preserve">причинения вреда (ущерба) охраняемым законом ценностям </w:t>
      </w:r>
    </w:p>
    <w:p w:rsidR="0074509A" w:rsidRP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4509A">
        <w:rPr>
          <w:rFonts w:ascii="Times New Roman" w:hAnsi="Times New Roman" w:cs="Times New Roman"/>
          <w:b/>
          <w:bCs/>
          <w:sz w:val="28"/>
          <w:szCs w:val="28"/>
        </w:rPr>
        <w:t xml:space="preserve">при осуществлении муниципального жилищного контроля </w:t>
      </w:r>
    </w:p>
    <w:p w:rsid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4509A">
        <w:rPr>
          <w:rFonts w:ascii="Times New Roman" w:hAnsi="Times New Roman" w:cs="Times New Roman"/>
          <w:b/>
          <w:bCs/>
          <w:sz w:val="28"/>
          <w:szCs w:val="28"/>
        </w:rPr>
        <w:t xml:space="preserve"> на территории городского округа Тейково Ивановской области  на 2023 го</w:t>
      </w:r>
      <w:r>
        <w:rPr>
          <w:rFonts w:ascii="Times New Roman" w:hAnsi="Times New Roman" w:cs="Times New Roman"/>
          <w:b/>
          <w:bCs/>
          <w:sz w:val="28"/>
          <w:szCs w:val="28"/>
        </w:rPr>
        <w:t>д</w:t>
      </w:r>
    </w:p>
    <w:p w:rsidR="0074509A" w:rsidRDefault="0074509A" w:rsidP="0074509A">
      <w:pPr>
        <w:widowControl w:val="0"/>
        <w:autoSpaceDE w:val="0"/>
        <w:autoSpaceDN w:val="0"/>
        <w:adjustRightInd w:val="0"/>
        <w:spacing w:after="0" w:line="240" w:lineRule="auto"/>
        <w:ind w:right="-1"/>
        <w:jc w:val="center"/>
        <w:rPr>
          <w:sz w:val="28"/>
          <w:szCs w:val="28"/>
        </w:rPr>
      </w:pPr>
    </w:p>
    <w:p w:rsidR="0074509A" w:rsidRPr="00F144D2" w:rsidRDefault="0074509A" w:rsidP="0074509A">
      <w:pPr>
        <w:widowControl w:val="0"/>
        <w:autoSpaceDE w:val="0"/>
        <w:autoSpaceDN w:val="0"/>
        <w:adjustRightInd w:val="0"/>
        <w:spacing w:after="0" w:line="240" w:lineRule="auto"/>
        <w:ind w:right="-1"/>
        <w:jc w:val="center"/>
        <w:rPr>
          <w:sz w:val="28"/>
          <w:szCs w:val="28"/>
        </w:rPr>
      </w:pPr>
    </w:p>
    <w:p w:rsidR="0074509A" w:rsidRPr="009429C2" w:rsidRDefault="0074509A" w:rsidP="0074509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6</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 -</w:t>
      </w:r>
    </w:p>
    <w:p w:rsidR="0074509A" w:rsidRDefault="0074509A" w:rsidP="0074509A">
      <w:pPr>
        <w:pStyle w:val="Default"/>
        <w:ind w:right="-1"/>
        <w:jc w:val="center"/>
        <w:rPr>
          <w:b/>
          <w:color w:val="auto"/>
          <w:sz w:val="28"/>
          <w:szCs w:val="28"/>
        </w:rPr>
      </w:pPr>
    </w:p>
    <w:p w:rsidR="0074509A" w:rsidRPr="006A1661" w:rsidRDefault="0074509A" w:rsidP="0074509A">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74509A" w:rsidRPr="006A1661" w:rsidRDefault="0074509A" w:rsidP="0074509A">
      <w:pPr>
        <w:pStyle w:val="Default"/>
        <w:ind w:right="-1"/>
        <w:jc w:val="both"/>
        <w:rPr>
          <w:b/>
          <w:color w:val="auto"/>
          <w:sz w:val="28"/>
          <w:szCs w:val="28"/>
        </w:rPr>
      </w:pPr>
    </w:p>
    <w:p w:rsidR="0074509A" w:rsidRPr="00D07E44" w:rsidRDefault="0074509A" w:rsidP="0074509A">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D07E44">
        <w:rPr>
          <w:szCs w:val="28"/>
        </w:rPr>
        <w:t xml:space="preserve"> профилактики рисков причинения вреда (ущерба) охраняемым законом ценностям при осуществлении муниципального</w:t>
      </w:r>
      <w:r>
        <w:rPr>
          <w:szCs w:val="28"/>
        </w:rPr>
        <w:t xml:space="preserve"> жилищного</w:t>
      </w:r>
      <w:r w:rsidRPr="00D07E44">
        <w:rPr>
          <w:szCs w:val="28"/>
        </w:rPr>
        <w:t xml:space="preserve"> контроля </w:t>
      </w:r>
      <w:r w:rsidRPr="0091300A">
        <w:rPr>
          <w:color w:val="000000"/>
          <w:szCs w:val="28"/>
        </w:rPr>
        <w:t xml:space="preserve">на территории городского округа Тейково Ивановской области </w:t>
      </w:r>
      <w:r w:rsidRPr="00D07E44">
        <w:rPr>
          <w:szCs w:val="28"/>
        </w:rPr>
        <w:t xml:space="preserve">на 2023 год согласно </w:t>
      </w:r>
      <w:hyperlink w:anchor="sub_1000" w:history="1">
        <w:r w:rsidRPr="00D07E44">
          <w:rPr>
            <w:szCs w:val="28"/>
          </w:rPr>
          <w:t>приложению</w:t>
        </w:r>
      </w:hyperlink>
      <w:r w:rsidRPr="00D07E44">
        <w:rPr>
          <w:szCs w:val="28"/>
        </w:rPr>
        <w:t>.</w:t>
      </w:r>
    </w:p>
    <w:p w:rsidR="0074509A" w:rsidRPr="0021525E" w:rsidRDefault="0074509A" w:rsidP="0074509A">
      <w:pPr>
        <w:pStyle w:val="a5"/>
        <w:numPr>
          <w:ilvl w:val="0"/>
          <w:numId w:val="1"/>
        </w:numPr>
        <w:tabs>
          <w:tab w:val="left" w:pos="1134"/>
        </w:tabs>
        <w:autoSpaceDE w:val="0"/>
        <w:autoSpaceDN w:val="0"/>
        <w:adjustRightInd w:val="0"/>
        <w:ind w:left="0" w:firstLine="851"/>
        <w:jc w:val="both"/>
        <w:rPr>
          <w:szCs w:val="28"/>
        </w:rPr>
      </w:pPr>
      <w:r w:rsidRPr="009429C2">
        <w:rPr>
          <w:szCs w:val="28"/>
        </w:rPr>
        <w:t>Опубликовать настоящее решение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74509A" w:rsidRDefault="0074509A" w:rsidP="0074509A">
      <w:pPr>
        <w:spacing w:after="0" w:line="240" w:lineRule="auto"/>
        <w:ind w:right="-1" w:firstLine="708"/>
        <w:jc w:val="both"/>
        <w:rPr>
          <w:rFonts w:ascii="Times New Roman" w:hAnsi="Times New Roman" w:cs="Times New Roman"/>
          <w:sz w:val="28"/>
          <w:szCs w:val="28"/>
        </w:rPr>
      </w:pPr>
    </w:p>
    <w:p w:rsidR="0074509A" w:rsidRPr="00463C68" w:rsidRDefault="0074509A" w:rsidP="0074509A">
      <w:pPr>
        <w:pStyle w:val="a5"/>
        <w:tabs>
          <w:tab w:val="left" w:pos="1276"/>
        </w:tabs>
        <w:ind w:left="708" w:right="-1"/>
        <w:rPr>
          <w:szCs w:val="28"/>
        </w:rPr>
      </w:pPr>
    </w:p>
    <w:p w:rsidR="0074509A" w:rsidRDefault="0074509A" w:rsidP="0074509A">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74509A" w:rsidRPr="00C34D82" w:rsidRDefault="0074509A" w:rsidP="0074509A">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74509A" w:rsidRDefault="0074509A" w:rsidP="0074509A">
      <w:pPr>
        <w:pStyle w:val="ConsPlusNormal"/>
        <w:ind w:firstLine="540"/>
        <w:jc w:val="both"/>
        <w:rPr>
          <w:rFonts w:ascii="Times New Roman" w:hAnsi="Times New Roman" w:cs="Times New Roman"/>
          <w:color w:val="000000" w:themeColor="text1"/>
          <w:sz w:val="28"/>
          <w:szCs w:val="28"/>
        </w:rPr>
      </w:pPr>
    </w:p>
    <w:p w:rsidR="0074509A" w:rsidRDefault="0074509A" w:rsidP="0074509A">
      <w:pPr>
        <w:pStyle w:val="ConsPlusNormal"/>
        <w:ind w:firstLine="540"/>
        <w:jc w:val="both"/>
        <w:rPr>
          <w:rFonts w:ascii="Times New Roman" w:hAnsi="Times New Roman" w:cs="Times New Roman"/>
          <w:color w:val="000000" w:themeColor="text1"/>
          <w:sz w:val="28"/>
          <w:szCs w:val="28"/>
        </w:rPr>
      </w:pPr>
    </w:p>
    <w:p w:rsidR="0074509A" w:rsidRDefault="0074509A" w:rsidP="0074509A">
      <w:pPr>
        <w:pStyle w:val="ConsPlusNormal"/>
        <w:ind w:firstLine="540"/>
        <w:jc w:val="both"/>
        <w:rPr>
          <w:rFonts w:ascii="Times New Roman" w:hAnsi="Times New Roman" w:cs="Times New Roman"/>
          <w:color w:val="000000" w:themeColor="text1"/>
          <w:sz w:val="28"/>
          <w:szCs w:val="28"/>
        </w:rPr>
      </w:pPr>
    </w:p>
    <w:p w:rsidR="0074509A" w:rsidRPr="00463C68" w:rsidRDefault="0074509A" w:rsidP="0074509A">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74509A" w:rsidRPr="00463C68" w:rsidRDefault="0074509A" w:rsidP="0074509A">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74509A" w:rsidRPr="00463C68" w:rsidRDefault="0074509A" w:rsidP="0074509A">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74509A" w:rsidRPr="00463C68" w:rsidRDefault="0074509A" w:rsidP="0074509A">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Pr="00463C68">
        <w:rPr>
          <w:rFonts w:ascii="Times New Roman" w:hAnsi="Times New Roman" w:cs="Times New Roman"/>
        </w:rPr>
        <w:t xml:space="preserve">от  </w:t>
      </w:r>
      <w:r>
        <w:rPr>
          <w:rFonts w:ascii="Times New Roman" w:hAnsi="Times New Roman" w:cs="Times New Roman"/>
        </w:rPr>
        <w:t xml:space="preserve">                         </w:t>
      </w:r>
      <w:r w:rsidRPr="00463C68">
        <w:rPr>
          <w:rFonts w:ascii="Times New Roman" w:hAnsi="Times New Roman" w:cs="Times New Roman"/>
        </w:rPr>
        <w:t xml:space="preserve">  № </w:t>
      </w:r>
      <w:r>
        <w:rPr>
          <w:rFonts w:ascii="Times New Roman" w:hAnsi="Times New Roman" w:cs="Times New Roman"/>
        </w:rPr>
        <w:t xml:space="preserve">         </w:t>
      </w:r>
    </w:p>
    <w:p w:rsidR="0074509A" w:rsidRPr="00B52B74" w:rsidRDefault="0074509A" w:rsidP="0074509A">
      <w:pPr>
        <w:pStyle w:val="a9"/>
        <w:spacing w:before="0" w:beforeAutospacing="0" w:after="0" w:afterAutospacing="0"/>
        <w:jc w:val="center"/>
        <w:rPr>
          <w:b/>
          <w:color w:val="000000"/>
          <w:sz w:val="28"/>
          <w:szCs w:val="28"/>
        </w:rPr>
      </w:pP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Программа профилактики рисков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причинения вреда (ущерба) охраняемым законом ценностям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 осуществлении муниципального жилищного контроля </w:t>
      </w: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 </w:t>
      </w:r>
      <w:r w:rsidR="00D07E44" w:rsidRPr="00D07E44">
        <w:rPr>
          <w:b/>
          <w:color w:val="000000"/>
          <w:sz w:val="28"/>
          <w:szCs w:val="28"/>
        </w:rPr>
        <w:t xml:space="preserve">на территории городского округа Тейково Ивановской области  </w:t>
      </w:r>
      <w:r>
        <w:rPr>
          <w:b/>
          <w:color w:val="000000"/>
          <w:sz w:val="28"/>
          <w:szCs w:val="28"/>
        </w:rPr>
        <w:t>на 2023</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D07E44" w:rsidRPr="00350463" w:rsidRDefault="00D07E44" w:rsidP="00D07E44">
      <w:pPr>
        <w:pStyle w:val="a9"/>
        <w:spacing w:before="0" w:beforeAutospacing="0" w:after="0" w:afterAutospacing="0"/>
        <w:jc w:val="center"/>
        <w:rPr>
          <w:b/>
          <w:color w:val="000000"/>
          <w:sz w:val="27"/>
          <w:szCs w:val="27"/>
        </w:rPr>
      </w:pPr>
      <w:bookmarkStart w:id="0" w:name="sub_1003"/>
      <w:r>
        <w:rPr>
          <w:sz w:val="28"/>
          <w:szCs w:val="28"/>
          <w:lang w:val="en-US"/>
        </w:rPr>
        <w:t>I</w:t>
      </w:r>
      <w:r>
        <w:rPr>
          <w:sz w:val="28"/>
          <w:szCs w:val="28"/>
        </w:rPr>
        <w:t>. Общие положения</w:t>
      </w:r>
    </w:p>
    <w:p w:rsidR="00D07E44" w:rsidRDefault="00D07E44" w:rsidP="00D07E44">
      <w:pPr>
        <w:pStyle w:val="ConsPlusTitle"/>
        <w:jc w:val="both"/>
        <w:rPr>
          <w:rFonts w:ascii="Times New Roman" w:hAnsi="Times New Roman" w:cs="Times New Roman"/>
          <w:sz w:val="28"/>
          <w:szCs w:val="28"/>
        </w:rPr>
      </w:pPr>
    </w:p>
    <w:p w:rsidR="00D07E44" w:rsidRPr="007C334D" w:rsidRDefault="00D07E44" w:rsidP="00D07E44">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Pr="007C334D">
        <w:rPr>
          <w:rFonts w:ascii="Times New Roman" w:hAnsi="Times New Roman" w:cs="Times New Roman"/>
          <w:b w:val="0"/>
          <w:sz w:val="28"/>
          <w:szCs w:val="28"/>
        </w:rPr>
        <w:t xml:space="preserve">1. </w:t>
      </w:r>
      <w:proofErr w:type="gramStart"/>
      <w:r w:rsidRPr="007C334D">
        <w:rPr>
          <w:rFonts w:ascii="Times New Roman" w:hAnsi="Times New Roman" w:cs="Times New Roman"/>
          <w:b w:val="0"/>
          <w:sz w:val="28"/>
          <w:szCs w:val="28"/>
        </w:rPr>
        <w:t>Настоящая Программа профилактики рисков причинения вреда (ущерба) охраняемым законом ценностям при осуществлении муниципал</w:t>
      </w:r>
      <w:r w:rsidR="00686394">
        <w:rPr>
          <w:rFonts w:ascii="Times New Roman" w:hAnsi="Times New Roman" w:cs="Times New Roman"/>
          <w:b w:val="0"/>
          <w:sz w:val="28"/>
          <w:szCs w:val="28"/>
        </w:rPr>
        <w:t>ьного жилищного контроля на 2023</w:t>
      </w:r>
      <w:r w:rsidRPr="007C334D">
        <w:rPr>
          <w:rFonts w:ascii="Times New Roman" w:hAnsi="Times New Roman" w:cs="Times New Roman"/>
          <w:b w:val="0"/>
          <w:sz w:val="28"/>
          <w:szCs w:val="28"/>
        </w:rPr>
        <w:t xml:space="preserve"> год (далее - Программа) разработана в целях </w:t>
      </w:r>
      <w:r>
        <w:rPr>
          <w:rFonts w:ascii="Times New Roman" w:hAnsi="Times New Roman" w:cs="Times New Roman"/>
          <w:b w:val="0"/>
          <w:sz w:val="28"/>
          <w:szCs w:val="28"/>
        </w:rPr>
        <w:t xml:space="preserve"> стимулирования</w:t>
      </w:r>
      <w:r w:rsidRPr="007C334D">
        <w:rPr>
          <w:rFonts w:ascii="Times New Roman" w:hAnsi="Times New Roman" w:cs="Times New Roman"/>
          <w:b w:val="0"/>
          <w:sz w:val="28"/>
          <w:szCs w:val="28"/>
        </w:rPr>
        <w:t xml:space="preserve"> добросовестного соблюдения обязательных требований всеми </w:t>
      </w:r>
      <w:r>
        <w:rPr>
          <w:rFonts w:ascii="Times New Roman" w:hAnsi="Times New Roman" w:cs="Times New Roman"/>
          <w:b w:val="0"/>
          <w:sz w:val="28"/>
          <w:szCs w:val="28"/>
        </w:rPr>
        <w:t>контролируемыми лицами,</w:t>
      </w:r>
      <w:r w:rsidRPr="007C334D">
        <w:rPr>
          <w:rFonts w:ascii="Times New Roman" w:hAnsi="Times New Roman" w:cs="Times New Roman"/>
          <w:b w:val="0"/>
          <w:sz w:val="28"/>
          <w:szCs w:val="28"/>
        </w:rPr>
        <w:t xml:space="preserve"> устранени</w:t>
      </w:r>
      <w:r>
        <w:rPr>
          <w:rFonts w:ascii="Times New Roman" w:hAnsi="Times New Roman" w:cs="Times New Roman"/>
          <w:b w:val="0"/>
          <w:sz w:val="28"/>
          <w:szCs w:val="28"/>
        </w:rPr>
        <w:t>я</w:t>
      </w:r>
      <w:r w:rsidRPr="007C334D">
        <w:rPr>
          <w:rFonts w:ascii="Times New Roman" w:hAnsi="Times New Roman" w:cs="Times New Roman"/>
          <w:b w:val="0"/>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cs="Times New Roman"/>
          <w:b w:val="0"/>
          <w:sz w:val="28"/>
          <w:szCs w:val="28"/>
        </w:rPr>
        <w:t xml:space="preserve"> в отношении муниципального жилищного фонда, а также </w:t>
      </w:r>
      <w:r w:rsidRPr="007C334D">
        <w:rPr>
          <w:rFonts w:ascii="Times New Roman" w:hAnsi="Times New Roman" w:cs="Times New Roman"/>
          <w:b w:val="0"/>
          <w:sz w:val="28"/>
          <w:szCs w:val="28"/>
        </w:rPr>
        <w:t>создание условий для</w:t>
      </w:r>
      <w:proofErr w:type="gramEnd"/>
      <w:r w:rsidRPr="007C334D">
        <w:rPr>
          <w:rFonts w:ascii="Times New Roman" w:hAnsi="Times New Roman" w:cs="Times New Roman"/>
          <w:b w:val="0"/>
          <w:sz w:val="28"/>
          <w:szCs w:val="28"/>
        </w:rPr>
        <w:t xml:space="preserve"> доведения обязательных требований до контролируемых лиц, повышение информирова</w:t>
      </w:r>
      <w:r>
        <w:rPr>
          <w:rFonts w:ascii="Times New Roman" w:hAnsi="Times New Roman" w:cs="Times New Roman"/>
          <w:b w:val="0"/>
          <w:sz w:val="28"/>
          <w:szCs w:val="28"/>
        </w:rPr>
        <w:t>нности о способах их соблюдения.</w:t>
      </w:r>
    </w:p>
    <w:p w:rsidR="00D07E44" w:rsidRDefault="00D07E44" w:rsidP="00D07E44">
      <w:pPr>
        <w:spacing w:after="0" w:line="240" w:lineRule="auto"/>
        <w:ind w:firstLine="567"/>
        <w:contextualSpacing/>
        <w:jc w:val="both"/>
        <w:rPr>
          <w:rFonts w:ascii="Times New Roman" w:hAnsi="Times New Roman" w:cs="Times New Roman"/>
          <w:sz w:val="28"/>
          <w:szCs w:val="28"/>
        </w:rPr>
      </w:pPr>
      <w:bookmarkStart w:id="1" w:name="sub_1002"/>
      <w:r>
        <w:rPr>
          <w:rFonts w:ascii="Times New Roman" w:hAnsi="Times New Roman" w:cs="Times New Roman"/>
          <w:sz w:val="28"/>
          <w:szCs w:val="28"/>
        </w:rPr>
        <w:t>1.</w:t>
      </w:r>
      <w:r w:rsidRPr="0053089B">
        <w:rPr>
          <w:rFonts w:ascii="Times New Roman" w:hAnsi="Times New Roman" w:cs="Times New Roman"/>
          <w:sz w:val="28"/>
          <w:szCs w:val="28"/>
        </w:rPr>
        <w:t xml:space="preserve">2. </w:t>
      </w:r>
      <w:r>
        <w:rPr>
          <w:rFonts w:ascii="Times New Roman" w:hAnsi="Times New Roman" w:cs="Times New Roman"/>
          <w:sz w:val="28"/>
          <w:szCs w:val="28"/>
        </w:rPr>
        <w:t xml:space="preserve">Программа разработана в соответствии </w:t>
      </w:r>
      <w:proofErr w:type="gramStart"/>
      <w:r>
        <w:rPr>
          <w:rFonts w:ascii="Times New Roman" w:hAnsi="Times New Roman" w:cs="Times New Roman"/>
          <w:sz w:val="28"/>
          <w:szCs w:val="28"/>
        </w:rPr>
        <w:t>с</w:t>
      </w:r>
      <w:proofErr w:type="gramEnd"/>
      <w:r w:rsidRPr="0053089B">
        <w:rPr>
          <w:rFonts w:ascii="Times New Roman" w:hAnsi="Times New Roman" w:cs="Times New Roman"/>
          <w:sz w:val="28"/>
          <w:szCs w:val="28"/>
        </w:rPr>
        <w:t>:</w:t>
      </w:r>
      <w:bookmarkEnd w:id="1"/>
    </w:p>
    <w:p w:rsidR="00D07E44"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Pr>
          <w:rFonts w:ascii="Times New Roman" w:hAnsi="Times New Roman" w:cs="Times New Roman"/>
          <w:sz w:val="28"/>
          <w:szCs w:val="28"/>
        </w:rPr>
        <w:t>ом</w:t>
      </w:r>
      <w:r w:rsidRPr="0053089B">
        <w:rPr>
          <w:rFonts w:ascii="Times New Roman" w:hAnsi="Times New Roman" w:cs="Times New Roman"/>
          <w:sz w:val="28"/>
          <w:szCs w:val="28"/>
        </w:rPr>
        <w:t xml:space="preserve"> от </w:t>
      </w:r>
      <w:r>
        <w:rPr>
          <w:rFonts w:ascii="Times New Roman" w:hAnsi="Times New Roman" w:cs="Times New Roman"/>
          <w:sz w:val="28"/>
          <w:szCs w:val="28"/>
        </w:rPr>
        <w:t>31</w:t>
      </w:r>
      <w:r w:rsidRPr="0053089B">
        <w:rPr>
          <w:rFonts w:ascii="Times New Roman" w:hAnsi="Times New Roman" w:cs="Times New Roman"/>
          <w:sz w:val="28"/>
          <w:szCs w:val="28"/>
        </w:rPr>
        <w:t>.</w:t>
      </w:r>
      <w:r>
        <w:rPr>
          <w:rFonts w:ascii="Times New Roman" w:hAnsi="Times New Roman" w:cs="Times New Roman"/>
          <w:sz w:val="28"/>
          <w:szCs w:val="28"/>
        </w:rPr>
        <w:t>07</w:t>
      </w:r>
      <w:r w:rsidRPr="0053089B">
        <w:rPr>
          <w:rFonts w:ascii="Times New Roman" w:hAnsi="Times New Roman" w:cs="Times New Roman"/>
          <w:sz w:val="28"/>
          <w:szCs w:val="28"/>
        </w:rPr>
        <w:t>.20</w:t>
      </w:r>
      <w:r>
        <w:rPr>
          <w:rFonts w:ascii="Times New Roman" w:hAnsi="Times New Roman" w:cs="Times New Roman"/>
          <w:sz w:val="28"/>
          <w:szCs w:val="28"/>
        </w:rPr>
        <w:t>20</w:t>
      </w:r>
      <w:r w:rsidRPr="0053089B">
        <w:rPr>
          <w:rFonts w:ascii="Times New Roman" w:hAnsi="Times New Roman" w:cs="Times New Roman"/>
          <w:sz w:val="28"/>
          <w:szCs w:val="28"/>
        </w:rPr>
        <w:t xml:space="preserve"> № 2</w:t>
      </w:r>
      <w:r>
        <w:rPr>
          <w:rFonts w:ascii="Times New Roman" w:hAnsi="Times New Roman" w:cs="Times New Roman"/>
          <w:sz w:val="28"/>
          <w:szCs w:val="28"/>
        </w:rPr>
        <w:t>48</w:t>
      </w:r>
      <w:r w:rsidRPr="0053089B">
        <w:rPr>
          <w:rFonts w:ascii="Times New Roman" w:hAnsi="Times New Roman" w:cs="Times New Roman"/>
          <w:sz w:val="28"/>
          <w:szCs w:val="28"/>
        </w:rPr>
        <w:t>-ФЗ «</w:t>
      </w:r>
      <w:r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3089B">
        <w:rPr>
          <w:rFonts w:ascii="Times New Roman" w:hAnsi="Times New Roman" w:cs="Times New Roman"/>
          <w:sz w:val="28"/>
          <w:szCs w:val="28"/>
        </w:rPr>
        <w:t>»</w:t>
      </w:r>
      <w:r w:rsidR="009A4615">
        <w:rPr>
          <w:rFonts w:ascii="Times New Roman" w:hAnsi="Times New Roman" w:cs="Times New Roman"/>
          <w:sz w:val="28"/>
          <w:szCs w:val="28"/>
        </w:rPr>
        <w:t xml:space="preserve"> </w:t>
      </w:r>
      <w:r>
        <w:rPr>
          <w:rFonts w:ascii="yandex-sans" w:eastAsia="Times New Roman" w:hAnsi="yandex-sans"/>
          <w:color w:val="000000"/>
          <w:sz w:val="28"/>
          <w:szCs w:val="28"/>
        </w:rPr>
        <w:t>(дале</w:t>
      </w:r>
      <w:proofErr w:type="gramStart"/>
      <w:r>
        <w:rPr>
          <w:rFonts w:ascii="yandex-sans" w:eastAsia="Times New Roman" w:hAnsi="yandex-sans"/>
          <w:color w:val="000000"/>
          <w:sz w:val="28"/>
          <w:szCs w:val="28"/>
        </w:rPr>
        <w:t>е-</w:t>
      </w:r>
      <w:proofErr w:type="gramEnd"/>
      <w:r>
        <w:rPr>
          <w:rFonts w:ascii="yandex-sans" w:eastAsia="Times New Roman" w:hAnsi="yandex-sans"/>
          <w:color w:val="000000"/>
          <w:sz w:val="28"/>
          <w:szCs w:val="28"/>
        </w:rPr>
        <w:t xml:space="preserve"> Ф</w:t>
      </w:r>
      <w:r>
        <w:rPr>
          <w:rFonts w:ascii="Times New Roman" w:hAnsi="Times New Roman" w:cs="Times New Roman"/>
          <w:sz w:val="28"/>
          <w:szCs w:val="28"/>
        </w:rPr>
        <w:t>едеральный закон</w:t>
      </w:r>
      <w:r w:rsidRPr="00431A76">
        <w:rPr>
          <w:rFonts w:ascii="Times New Roman" w:hAnsi="Times New Roman" w:cs="Times New Roman"/>
          <w:sz w:val="28"/>
          <w:szCs w:val="28"/>
        </w:rPr>
        <w:t xml:space="preserve"> №248-ФЗ</w:t>
      </w:r>
      <w:r>
        <w:rPr>
          <w:rFonts w:ascii="Times New Roman" w:hAnsi="Times New Roman" w:cs="Times New Roman"/>
          <w:sz w:val="28"/>
          <w:szCs w:val="28"/>
        </w:rPr>
        <w:t>)</w:t>
      </w:r>
      <w:r w:rsidRPr="0053089B">
        <w:rPr>
          <w:rFonts w:ascii="Times New Roman" w:hAnsi="Times New Roman" w:cs="Times New Roman"/>
          <w:sz w:val="28"/>
          <w:szCs w:val="28"/>
        </w:rPr>
        <w:t xml:space="preserve">;   </w:t>
      </w:r>
    </w:p>
    <w:p w:rsidR="00D07E44" w:rsidRPr="006E0087" w:rsidRDefault="00D07E44"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 законом от 31.07.2020 №</w:t>
      </w:r>
      <w:r w:rsidRPr="006E0087">
        <w:rPr>
          <w:rFonts w:ascii="Times New Roman" w:hAnsi="Times New Roman" w:cs="Times New Roman"/>
          <w:sz w:val="28"/>
          <w:szCs w:val="28"/>
        </w:rPr>
        <w:t>247-ФЗ</w:t>
      </w:r>
      <w:proofErr w:type="gramStart"/>
      <w:r w:rsidRPr="006E0087">
        <w:rPr>
          <w:rFonts w:ascii="Times New Roman" w:hAnsi="Times New Roman" w:cs="Times New Roman"/>
          <w:sz w:val="28"/>
          <w:szCs w:val="28"/>
        </w:rPr>
        <w:t>"О</w:t>
      </w:r>
      <w:proofErr w:type="gramEnd"/>
      <w:r w:rsidRPr="006E0087">
        <w:rPr>
          <w:rFonts w:ascii="Times New Roman" w:hAnsi="Times New Roman" w:cs="Times New Roman"/>
          <w:sz w:val="28"/>
          <w:szCs w:val="28"/>
        </w:rPr>
        <w:t>б обязательных требованиях в Российской Федерации"</w:t>
      </w:r>
      <w:r>
        <w:rPr>
          <w:rFonts w:ascii="Times New Roman" w:hAnsi="Times New Roman" w:cs="Times New Roman"/>
          <w:sz w:val="28"/>
          <w:szCs w:val="28"/>
        </w:rPr>
        <w:t>;</w:t>
      </w:r>
    </w:p>
    <w:p w:rsidR="00D07E44" w:rsidRPr="0053089B"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Pr="0057379C">
        <w:rPr>
          <w:rFonts w:ascii="Times New Roman" w:hAnsi="Times New Roman" w:cs="Times New Roman"/>
          <w:sz w:val="28"/>
          <w:szCs w:val="28"/>
        </w:rPr>
        <w:t>постановление</w:t>
      </w:r>
      <w:r>
        <w:rPr>
          <w:rFonts w:ascii="Times New Roman" w:hAnsi="Times New Roman" w:cs="Times New Roman"/>
          <w:sz w:val="28"/>
          <w:szCs w:val="28"/>
        </w:rPr>
        <w:t>м</w:t>
      </w:r>
      <w:r w:rsidRPr="0057379C">
        <w:rPr>
          <w:rFonts w:ascii="Times New Roman" w:hAnsi="Times New Roman" w:cs="Times New Roman"/>
          <w:sz w:val="28"/>
          <w:szCs w:val="28"/>
        </w:rPr>
        <w:t xml:space="preserve"> Правитель</w:t>
      </w:r>
      <w:r>
        <w:rPr>
          <w:rFonts w:ascii="Times New Roman" w:hAnsi="Times New Roman" w:cs="Times New Roman"/>
          <w:sz w:val="28"/>
          <w:szCs w:val="28"/>
        </w:rPr>
        <w:t>ства Российской Федерации от 25.06.</w:t>
      </w:r>
      <w:r w:rsidRPr="0057379C">
        <w:rPr>
          <w:rFonts w:ascii="Times New Roman" w:hAnsi="Times New Roman" w:cs="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0"/>
      <w:r w:rsidR="00B52B74" w:rsidRPr="00B52B74">
        <w:rPr>
          <w:rFonts w:ascii="Times New Roman" w:hAnsi="Times New Roman" w:cs="Times New Roman"/>
          <w:sz w:val="28"/>
          <w:szCs w:val="28"/>
        </w:rPr>
        <w:t>Срок реализации Программы - 202</w:t>
      </w:r>
      <w:r w:rsidR="00000822">
        <w:rPr>
          <w:rFonts w:ascii="Times New Roman" w:hAnsi="Times New Roman" w:cs="Times New Roman"/>
          <w:sz w:val="28"/>
          <w:szCs w:val="28"/>
        </w:rPr>
        <w:t>3</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111272" w:rsidRPr="00111272" w:rsidRDefault="00B52B74" w:rsidP="00111272">
      <w:pPr>
        <w:pStyle w:val="1"/>
        <w:ind w:firstLine="567"/>
        <w:jc w:val="center"/>
        <w:rPr>
          <w:b/>
          <w:szCs w:val="28"/>
        </w:rPr>
      </w:pPr>
      <w:r w:rsidRPr="00B52B74">
        <w:rPr>
          <w:b/>
          <w:szCs w:val="28"/>
        </w:rPr>
        <w:t xml:space="preserve">II. Анализ текущего состояния осуществления </w:t>
      </w:r>
      <w:r w:rsidR="00111272" w:rsidRPr="00111272">
        <w:rPr>
          <w:b/>
          <w:szCs w:val="28"/>
        </w:rPr>
        <w:t xml:space="preserve">жилищного контроля </w:t>
      </w:r>
    </w:p>
    <w:p w:rsidR="00B52B74" w:rsidRPr="00B52B74" w:rsidRDefault="00111272" w:rsidP="00111272">
      <w:pPr>
        <w:pStyle w:val="1"/>
        <w:ind w:firstLine="567"/>
        <w:jc w:val="center"/>
        <w:rPr>
          <w:b/>
          <w:szCs w:val="28"/>
        </w:rPr>
      </w:pPr>
      <w:r w:rsidRPr="00111272">
        <w:rPr>
          <w:b/>
          <w:szCs w:val="28"/>
        </w:rPr>
        <w:t xml:space="preserve"> на территории городского округа Тейково Ивановской области</w:t>
      </w:r>
      <w:r w:rsidR="00B52B74"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Pr="00D07E44">
        <w:rPr>
          <w:rFonts w:ascii="Times New Roman" w:hAnsi="Times New Roman" w:cs="Times New Roman"/>
          <w:sz w:val="28"/>
          <w:szCs w:val="28"/>
        </w:rPr>
        <w:t>Предметом муниципального жилищного контроля на территории городского округа Тейково Ивановской области является: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1) соблюдение юридическими лицами, индивидуальными предпринимателями и гражданами,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следующих обязательных требований:</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proofErr w:type="gramStart"/>
      <w:r w:rsidRPr="00D07E44">
        <w:rPr>
          <w:rFonts w:ascii="Times New Roman" w:hAnsi="Times New Roman" w:cs="Times New Roman"/>
          <w:sz w:val="28"/>
          <w:szCs w:val="28"/>
        </w:rPr>
        <w:t xml:space="preserve">- требований к использованию и сохранности муниципального жилищного фонда, в том числе требований к жилым помещениям, их использованию и </w:t>
      </w:r>
      <w:r w:rsidRPr="00D07E44">
        <w:rPr>
          <w:rFonts w:ascii="Times New Roman" w:hAnsi="Times New Roman" w:cs="Times New Roman"/>
          <w:sz w:val="28"/>
          <w:szCs w:val="28"/>
        </w:rPr>
        <w:lastRenderedPageBreak/>
        <w:t>содержанию, использованию и содержанию общего имущества собственников помещений в многоквартирных домах, в которых имеются жилые помещения, являющиеся муниципальной собственностью,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w:t>
      </w:r>
      <w:proofErr w:type="gramEnd"/>
      <w:r w:rsidRPr="00D07E44">
        <w:rPr>
          <w:rFonts w:ascii="Times New Roman" w:hAnsi="Times New Roman" w:cs="Times New Roman"/>
          <w:sz w:val="28"/>
          <w:szCs w:val="28"/>
        </w:rPr>
        <w:t xml:space="preserve"> в многоквартирном доме;</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формированию фондов капитального ремонта;</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предоставлению коммунальных услуг нанимателям и пользователям муниципальных жилых помещений в многоквартирных домах и жилых домов, находящихся в муниципальной собственности;</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правил содержания общего имущества в многоквартирном доме, в котором имеются жилые помещения, являющиеся муниципальной собственностью, и правил изменения размера платы за содержание жилого помещения;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в которых имеются жилые помещения, являющиеся муниципальной собственностью, и жилых домов, находящихся в муниципальной собственности;</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энергетической эффективности и оснащенности помещений многоквартирных домов, в которых имеются жилые помещения, являющиеся муниципальной собственностью, и жилых домов,  находящихся в муниципальной собственности, приборами учета используемых энергетических ресурсов;</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xml:space="preserve">- требований к порядку размещения </w:t>
      </w:r>
      <w:proofErr w:type="spellStart"/>
      <w:r w:rsidRPr="00D07E44">
        <w:rPr>
          <w:rFonts w:ascii="Times New Roman" w:hAnsi="Times New Roman" w:cs="Times New Roman"/>
          <w:sz w:val="28"/>
          <w:szCs w:val="28"/>
        </w:rPr>
        <w:t>ресурсоснабжающими</w:t>
      </w:r>
      <w:proofErr w:type="spellEnd"/>
      <w:r w:rsidRPr="00D07E44">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обеспечению доступности для инвалидов помещений в многоквартирных домах, в которых имеются жилые помещения, являющиеся муниципальной собственностью;</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предоставлению жилых помещений в наемных домах социального использования.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2) соблюдение (реализация) требований, содержащихся в разрешительных документах.</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4) исполнение решений, принимаемых по результатам контрольных мероприятий.</w:t>
      </w:r>
    </w:p>
    <w:p w:rsidR="00D07E44" w:rsidRPr="005C6913" w:rsidRDefault="008C1D01"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2.2</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Жилищный </w:t>
      </w:r>
      <w:hyperlink r:id="rId7" w:history="1">
        <w:r w:rsidRPr="005C6913">
          <w:rPr>
            <w:rFonts w:ascii="Times New Roman" w:hAnsi="Times New Roman" w:cs="Times New Roman"/>
            <w:sz w:val="28"/>
            <w:szCs w:val="28"/>
          </w:rPr>
          <w:t>кодекс</w:t>
        </w:r>
      </w:hyperlink>
      <w:r w:rsidRPr="005C6913">
        <w:rPr>
          <w:rFonts w:ascii="Times New Roman" w:hAnsi="Times New Roman" w:cs="Times New Roman"/>
          <w:sz w:val="28"/>
          <w:szCs w:val="28"/>
        </w:rPr>
        <w:t xml:space="preserve"> Российской Федерации;</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proofErr w:type="gramStart"/>
      <w:r w:rsidRPr="005C6913">
        <w:rPr>
          <w:rFonts w:ascii="Times New Roman" w:hAnsi="Times New Roman" w:cs="Times New Roman"/>
          <w:sz w:val="28"/>
          <w:szCs w:val="28"/>
        </w:rPr>
        <w:t xml:space="preserve">- </w:t>
      </w:r>
      <w:hyperlink r:id="rId8"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13.08.2006 </w:t>
      </w:r>
      <w:r>
        <w:rPr>
          <w:rFonts w:ascii="Times New Roman" w:hAnsi="Times New Roman" w:cs="Times New Roman"/>
          <w:sz w:val="28"/>
          <w:szCs w:val="28"/>
        </w:rPr>
        <w:t>№</w:t>
      </w:r>
      <w:r w:rsidRPr="005C6913">
        <w:rPr>
          <w:rFonts w:ascii="Times New Roman" w:hAnsi="Times New Roman" w:cs="Times New Roman"/>
          <w:sz w:val="28"/>
          <w:szCs w:val="28"/>
        </w:rPr>
        <w:t xml:space="preserve">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9"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06.05.2011</w:t>
      </w:r>
      <w:r>
        <w:rPr>
          <w:rFonts w:ascii="Times New Roman" w:hAnsi="Times New Roman" w:cs="Times New Roman"/>
          <w:sz w:val="28"/>
          <w:szCs w:val="28"/>
        </w:rPr>
        <w:t xml:space="preserve"> №</w:t>
      </w:r>
      <w:r w:rsidRPr="005C6913">
        <w:rPr>
          <w:rFonts w:ascii="Times New Roman" w:hAnsi="Times New Roman" w:cs="Times New Roman"/>
          <w:sz w:val="28"/>
          <w:szCs w:val="28"/>
        </w:rPr>
        <w:t xml:space="preserve"> 354 "О предоставлении коммунальных услуг собственникам и пользователям помещений в многоквартирных домах и жилых домов";</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0"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03.04.2013 </w:t>
      </w:r>
      <w:r>
        <w:rPr>
          <w:rFonts w:ascii="Times New Roman" w:hAnsi="Times New Roman" w:cs="Times New Roman"/>
          <w:sz w:val="28"/>
          <w:szCs w:val="28"/>
        </w:rPr>
        <w:t>№</w:t>
      </w:r>
      <w:r w:rsidRPr="005C6913">
        <w:rPr>
          <w:rFonts w:ascii="Times New Roman" w:hAnsi="Times New Roman" w:cs="Times New Roman"/>
          <w:sz w:val="28"/>
          <w:szCs w:val="28"/>
        </w:rPr>
        <w:t xml:space="preserve">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1"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15.05.2013 </w:t>
      </w:r>
      <w:r>
        <w:rPr>
          <w:rFonts w:ascii="Times New Roman" w:hAnsi="Times New Roman" w:cs="Times New Roman"/>
          <w:sz w:val="28"/>
          <w:szCs w:val="28"/>
        </w:rPr>
        <w:t>№</w:t>
      </w:r>
      <w:r w:rsidRPr="005C6913">
        <w:rPr>
          <w:rFonts w:ascii="Times New Roman" w:hAnsi="Times New Roman" w:cs="Times New Roman"/>
          <w:sz w:val="28"/>
          <w:szCs w:val="28"/>
        </w:rPr>
        <w:t xml:space="preserve"> 416 "О порядке осуществления деятельности по управлению многоквартирными домами";</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2"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Государственного комитета Российской Федерации по строительству и жилищно-коммуна</w:t>
      </w:r>
      <w:r>
        <w:rPr>
          <w:rFonts w:ascii="Times New Roman" w:hAnsi="Times New Roman" w:cs="Times New Roman"/>
          <w:sz w:val="28"/>
          <w:szCs w:val="28"/>
        </w:rPr>
        <w:t>льному комплексу от 27.09.2003 №</w:t>
      </w:r>
      <w:r w:rsidRPr="005C6913">
        <w:rPr>
          <w:rFonts w:ascii="Times New Roman" w:hAnsi="Times New Roman" w:cs="Times New Roman"/>
          <w:sz w:val="28"/>
          <w:szCs w:val="28"/>
        </w:rPr>
        <w:t xml:space="preserve"> 170 "Об утверждении Правил и норм техническо</w:t>
      </w:r>
      <w:r>
        <w:rPr>
          <w:rFonts w:ascii="Times New Roman" w:hAnsi="Times New Roman" w:cs="Times New Roman"/>
          <w:sz w:val="28"/>
          <w:szCs w:val="28"/>
        </w:rPr>
        <w:t>й эксплуатации жилищного фонда".</w:t>
      </w:r>
    </w:p>
    <w:p w:rsidR="00D07E44" w:rsidRPr="00D07E44" w:rsidRDefault="008C1D01"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00D07E44" w:rsidRPr="00D07E44">
        <w:rPr>
          <w:rFonts w:ascii="Times New Roman" w:hAnsi="Times New Roman" w:cs="Times New Roman"/>
          <w:sz w:val="28"/>
          <w:szCs w:val="28"/>
        </w:rPr>
        <w:t>Объектами муниципального жилищного контроля (далее также – объект контроля) являются: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xml:space="preserve">- деятельность, действия (бездействие) граждан, управляющих организаций, </w:t>
      </w:r>
      <w:proofErr w:type="spellStart"/>
      <w:r w:rsidRPr="00D07E44">
        <w:rPr>
          <w:rFonts w:ascii="Times New Roman" w:hAnsi="Times New Roman" w:cs="Times New Roman"/>
          <w:sz w:val="28"/>
          <w:szCs w:val="28"/>
        </w:rPr>
        <w:t>ресурсоснабжающих</w:t>
      </w:r>
      <w:proofErr w:type="spellEnd"/>
      <w:r w:rsidRPr="00D07E44">
        <w:rPr>
          <w:rFonts w:ascii="Times New Roman" w:hAnsi="Times New Roman" w:cs="Times New Roman"/>
          <w:sz w:val="28"/>
          <w:szCs w:val="28"/>
        </w:rPr>
        <w:t xml:space="preserve"> организаций, регионального оператора по организации проведения капитального ремонта общего имущества в многоквартирных домах,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жилые помещения муниципального жилищного фонда, места общего пользования и другие объекты, которыми граждане и организации владеют и (или) пользуются и к которым жилищным законодательством предъявляются обязательные требования.</w:t>
      </w:r>
    </w:p>
    <w:p w:rsid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Муниципальный жилищный контроль осуществляется в отношении юридических лиц, индивидуальных предпринимателей и граждан (далее – контролируемые лица).</w:t>
      </w:r>
    </w:p>
    <w:p w:rsidR="00D07E44" w:rsidRDefault="008C1D01"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 xml:space="preserve">В качестве </w:t>
      </w:r>
      <w:r w:rsidR="00D07E44">
        <w:rPr>
          <w:rFonts w:ascii="Times New Roman" w:hAnsi="Times New Roman" w:cs="Times New Roman"/>
          <w:sz w:val="28"/>
          <w:szCs w:val="28"/>
        </w:rPr>
        <w:t xml:space="preserve">контролируемых лиц при осуществлении муниципального жилищного контроля </w:t>
      </w:r>
      <w:r w:rsidR="00D07E44" w:rsidRPr="005C6913">
        <w:rPr>
          <w:rFonts w:ascii="Times New Roman" w:hAnsi="Times New Roman" w:cs="Times New Roman"/>
          <w:sz w:val="28"/>
          <w:szCs w:val="28"/>
        </w:rPr>
        <w:t>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специализированные потреби</w:t>
      </w:r>
      <w:r w:rsidR="00D07E44">
        <w:rPr>
          <w:rFonts w:ascii="Times New Roman" w:hAnsi="Times New Roman" w:cs="Times New Roman"/>
          <w:sz w:val="28"/>
          <w:szCs w:val="28"/>
        </w:rPr>
        <w:t xml:space="preserve">тельские кооперативы </w:t>
      </w:r>
      <w:r w:rsidR="00D07E44" w:rsidRPr="005C6913">
        <w:rPr>
          <w:rFonts w:ascii="Times New Roman" w:hAnsi="Times New Roman" w:cs="Times New Roman"/>
          <w:sz w:val="28"/>
          <w:szCs w:val="28"/>
        </w:rPr>
        <w:t xml:space="preserve">на территории </w:t>
      </w:r>
      <w:r w:rsidR="00122949">
        <w:rPr>
          <w:rFonts w:ascii="Times New Roman" w:hAnsi="Times New Roman" w:cs="Times New Roman"/>
          <w:sz w:val="28"/>
          <w:szCs w:val="28"/>
        </w:rPr>
        <w:t>городского округа Тейково И</w:t>
      </w:r>
      <w:r w:rsidR="00D07E44">
        <w:rPr>
          <w:rFonts w:ascii="Times New Roman" w:hAnsi="Times New Roman" w:cs="Times New Roman"/>
          <w:sz w:val="28"/>
          <w:szCs w:val="28"/>
        </w:rPr>
        <w:t>вановской области.</w:t>
      </w:r>
    </w:p>
    <w:p w:rsidR="00B03481" w:rsidRDefault="008C1D01" w:rsidP="00B0348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B52B74" w:rsidRPr="00B52B74">
        <w:rPr>
          <w:rFonts w:ascii="Times New Roman" w:hAnsi="Times New Roman" w:cs="Times New Roman"/>
          <w:sz w:val="28"/>
          <w:szCs w:val="28"/>
        </w:rPr>
        <w:t xml:space="preserve">. </w:t>
      </w:r>
      <w:proofErr w:type="gramStart"/>
      <w:r w:rsidR="00B03481" w:rsidRPr="00F64624">
        <w:rPr>
          <w:rFonts w:ascii="Times New Roman" w:hAnsi="Times New Roman" w:cs="Times New Roman"/>
          <w:sz w:val="28"/>
          <w:szCs w:val="28"/>
        </w:rPr>
        <w:t>В связи с запретом на проведение контрольных мероприятий, установленным</w:t>
      </w:r>
      <w:r w:rsidR="00B03481">
        <w:rPr>
          <w:rFonts w:ascii="Times New Roman" w:hAnsi="Times New Roman" w:cs="Times New Roman"/>
          <w:sz w:val="28"/>
          <w:szCs w:val="28"/>
        </w:rPr>
        <w:t xml:space="preserve"> </w:t>
      </w:r>
      <w:r w:rsidR="00B03481" w:rsidRPr="00F64624">
        <w:rPr>
          <w:rFonts w:ascii="Times New Roman" w:hAnsi="Times New Roman" w:cs="Times New Roman"/>
          <w:sz w:val="28"/>
          <w:szCs w:val="28"/>
        </w:rPr>
        <w:t xml:space="preserve">ст. 26.2 Федерального закона от 26.12.2008 № 294-ФЗ «О защите </w:t>
      </w:r>
      <w:r w:rsidR="00B03481" w:rsidRPr="00F64624">
        <w:rPr>
          <w:rFonts w:ascii="Times New Roman" w:hAnsi="Times New Roman" w:cs="Times New Roman"/>
          <w:sz w:val="28"/>
          <w:szCs w:val="28"/>
        </w:rPr>
        <w:lastRenderedPageBreak/>
        <w:t>прав</w:t>
      </w:r>
      <w:r w:rsidR="00B03481">
        <w:rPr>
          <w:rFonts w:ascii="Times New Roman" w:hAnsi="Times New Roman" w:cs="Times New Roman"/>
          <w:sz w:val="28"/>
          <w:szCs w:val="28"/>
        </w:rPr>
        <w:t xml:space="preserve"> </w:t>
      </w:r>
      <w:r w:rsidR="00B03481" w:rsidRPr="00F64624">
        <w:rPr>
          <w:rFonts w:ascii="Times New Roman" w:hAnsi="Times New Roman" w:cs="Times New Roman"/>
          <w:sz w:val="28"/>
          <w:szCs w:val="28"/>
        </w:rPr>
        <w:t>юридических лиц и индивидуальных предпринимателей при осуществлении</w:t>
      </w:r>
      <w:r w:rsidR="00B03481">
        <w:rPr>
          <w:rFonts w:ascii="Times New Roman" w:hAnsi="Times New Roman" w:cs="Times New Roman"/>
          <w:sz w:val="28"/>
          <w:szCs w:val="28"/>
        </w:rPr>
        <w:t xml:space="preserve"> </w:t>
      </w:r>
      <w:r w:rsidR="00B03481" w:rsidRPr="00F64624">
        <w:rPr>
          <w:rFonts w:ascii="Times New Roman" w:hAnsi="Times New Roman" w:cs="Times New Roman"/>
          <w:sz w:val="28"/>
          <w:szCs w:val="28"/>
        </w:rPr>
        <w:t>государственного контроля (надзора) и муниципального контроля», плановые и</w:t>
      </w:r>
      <w:r w:rsidR="00B03481">
        <w:rPr>
          <w:rFonts w:ascii="Times New Roman" w:hAnsi="Times New Roman" w:cs="Times New Roman"/>
          <w:sz w:val="28"/>
          <w:szCs w:val="28"/>
        </w:rPr>
        <w:t xml:space="preserve"> </w:t>
      </w:r>
      <w:r w:rsidR="00B03481" w:rsidRPr="00F64624">
        <w:rPr>
          <w:rFonts w:ascii="Times New Roman" w:hAnsi="Times New Roman" w:cs="Times New Roman"/>
          <w:sz w:val="28"/>
          <w:szCs w:val="28"/>
        </w:rPr>
        <w:t>внеплановые проверки в отношении подконтрольных субъектов, относящихся к</w:t>
      </w:r>
      <w:r w:rsidR="00B03481">
        <w:rPr>
          <w:rFonts w:ascii="Times New Roman" w:hAnsi="Times New Roman" w:cs="Times New Roman"/>
          <w:sz w:val="28"/>
          <w:szCs w:val="28"/>
        </w:rPr>
        <w:t xml:space="preserve"> </w:t>
      </w:r>
      <w:r w:rsidR="00B03481" w:rsidRPr="00F64624">
        <w:rPr>
          <w:rFonts w:ascii="Times New Roman" w:hAnsi="Times New Roman" w:cs="Times New Roman"/>
          <w:sz w:val="28"/>
          <w:szCs w:val="28"/>
        </w:rPr>
        <w:t>м</w:t>
      </w:r>
      <w:r w:rsidR="00B03481">
        <w:rPr>
          <w:rFonts w:ascii="Times New Roman" w:hAnsi="Times New Roman" w:cs="Times New Roman"/>
          <w:sz w:val="28"/>
          <w:szCs w:val="28"/>
        </w:rPr>
        <w:t>алому и среднему бизнесу, в 2022</w:t>
      </w:r>
      <w:r w:rsidR="00B03481" w:rsidRPr="00F64624">
        <w:rPr>
          <w:rFonts w:ascii="Times New Roman" w:hAnsi="Times New Roman" w:cs="Times New Roman"/>
          <w:sz w:val="28"/>
          <w:szCs w:val="28"/>
        </w:rPr>
        <w:t xml:space="preserve"> году не проводились.</w:t>
      </w:r>
      <w:r w:rsidR="00B03481">
        <w:rPr>
          <w:rFonts w:ascii="Times New Roman" w:hAnsi="Times New Roman" w:cs="Times New Roman"/>
          <w:sz w:val="28"/>
          <w:szCs w:val="28"/>
        </w:rPr>
        <w:t xml:space="preserve"> </w:t>
      </w:r>
      <w:proofErr w:type="gramEnd"/>
    </w:p>
    <w:p w:rsidR="00B03481" w:rsidRPr="00153175" w:rsidRDefault="00B03481" w:rsidP="00B03481">
      <w:pPr>
        <w:spacing w:after="0" w:line="240" w:lineRule="auto"/>
        <w:ind w:firstLine="567"/>
        <w:contextualSpacing/>
        <w:jc w:val="both"/>
        <w:rPr>
          <w:rFonts w:ascii="Times New Roman" w:hAnsi="Times New Roman" w:cs="Times New Roman"/>
          <w:sz w:val="28"/>
          <w:szCs w:val="28"/>
        </w:rPr>
      </w:pPr>
      <w:r w:rsidRPr="00F64624">
        <w:rPr>
          <w:rFonts w:ascii="Times New Roman" w:hAnsi="Times New Roman" w:cs="Times New Roman"/>
          <w:sz w:val="28"/>
          <w:szCs w:val="28"/>
        </w:rPr>
        <w:t>Ежегодный план проведения плановых проверок юридических лиц и</w:t>
      </w:r>
      <w:r>
        <w:rPr>
          <w:rFonts w:ascii="Times New Roman" w:hAnsi="Times New Roman" w:cs="Times New Roman"/>
          <w:sz w:val="28"/>
          <w:szCs w:val="28"/>
        </w:rPr>
        <w:t xml:space="preserve"> </w:t>
      </w:r>
      <w:r w:rsidRPr="00F64624">
        <w:rPr>
          <w:rFonts w:ascii="Times New Roman" w:hAnsi="Times New Roman" w:cs="Times New Roman"/>
          <w:sz w:val="28"/>
          <w:szCs w:val="28"/>
        </w:rPr>
        <w:t xml:space="preserve">индивидуальных предпринимателей на основании Федерального закона </w:t>
      </w:r>
      <w:r>
        <w:rPr>
          <w:rFonts w:ascii="Times New Roman" w:hAnsi="Times New Roman" w:cs="Times New Roman"/>
          <w:sz w:val="28"/>
          <w:szCs w:val="28"/>
        </w:rPr>
        <w:t>Федеральный закон «</w:t>
      </w:r>
      <w:r w:rsidRPr="005F4FFE">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5F4FFE">
        <w:rPr>
          <w:rFonts w:ascii="Times New Roman" w:hAnsi="Times New Roman" w:cs="Times New Roman"/>
          <w:sz w:val="28"/>
          <w:szCs w:val="28"/>
        </w:rPr>
        <w:t xml:space="preserve"> от 31.07.2020 N 248-ФЗ</w:t>
      </w:r>
      <w:r w:rsidRPr="00F64624">
        <w:rPr>
          <w:rFonts w:ascii="Times New Roman" w:hAnsi="Times New Roman" w:cs="Times New Roman"/>
          <w:sz w:val="28"/>
          <w:szCs w:val="28"/>
        </w:rPr>
        <w:t xml:space="preserve">, в сфере муниципального </w:t>
      </w:r>
      <w:r>
        <w:rPr>
          <w:rFonts w:ascii="Times New Roman" w:hAnsi="Times New Roman" w:cs="Times New Roman"/>
          <w:sz w:val="28"/>
          <w:szCs w:val="28"/>
        </w:rPr>
        <w:t>земельного</w:t>
      </w:r>
      <w:r w:rsidRPr="00F64624">
        <w:rPr>
          <w:rFonts w:ascii="Times New Roman" w:hAnsi="Times New Roman" w:cs="Times New Roman"/>
          <w:sz w:val="28"/>
          <w:szCs w:val="28"/>
        </w:rPr>
        <w:t xml:space="preserve"> контроля</w:t>
      </w:r>
      <w:r>
        <w:rPr>
          <w:rFonts w:ascii="Times New Roman" w:hAnsi="Times New Roman" w:cs="Times New Roman"/>
          <w:sz w:val="28"/>
          <w:szCs w:val="28"/>
        </w:rPr>
        <w:t xml:space="preserve"> </w:t>
      </w:r>
      <w:r w:rsidRPr="00F64624">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округа Тейково Ивановской области на 2022 год не утверждался. </w:t>
      </w:r>
    </w:p>
    <w:p w:rsidR="00D06344" w:rsidRPr="005C6913" w:rsidRDefault="008C1D01" w:rsidP="00B0348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D06344" w:rsidRPr="00153175">
        <w:rPr>
          <w:rFonts w:ascii="Times New Roman" w:hAnsi="Times New Roman" w:cs="Times New Roman"/>
          <w:sz w:val="28"/>
          <w:szCs w:val="28"/>
        </w:rPr>
        <w:t>Основными проблемами,</w:t>
      </w:r>
      <w:r w:rsidR="00D06344">
        <w:rPr>
          <w:rFonts w:ascii="Times New Roman" w:hAnsi="Times New Roman" w:cs="Times New Roman"/>
          <w:sz w:val="28"/>
          <w:szCs w:val="28"/>
        </w:rPr>
        <w:t xml:space="preserve"> на решение которых направлена Программа</w:t>
      </w:r>
      <w:r w:rsidR="00D06344" w:rsidRPr="00153175">
        <w:rPr>
          <w:rFonts w:ascii="Times New Roman" w:hAnsi="Times New Roman" w:cs="Times New Roman"/>
          <w:sz w:val="28"/>
          <w:szCs w:val="28"/>
        </w:rPr>
        <w:t>, являются</w:t>
      </w:r>
      <w:r w:rsidR="00D06344">
        <w:rPr>
          <w:rFonts w:ascii="Times New Roman" w:hAnsi="Times New Roman" w:cs="Times New Roman"/>
          <w:sz w:val="28"/>
          <w:szCs w:val="28"/>
        </w:rPr>
        <w:t>:</w:t>
      </w:r>
      <w:r w:rsidR="00D06344" w:rsidRPr="00153175">
        <w:rPr>
          <w:rFonts w:ascii="Times New Roman" w:hAnsi="Times New Roman" w:cs="Times New Roman"/>
          <w:sz w:val="28"/>
          <w:szCs w:val="28"/>
        </w:rPr>
        <w:t xml:space="preserve"> недостаточная информированность </w:t>
      </w:r>
      <w:r w:rsidR="00D06344">
        <w:rPr>
          <w:rFonts w:ascii="Times New Roman" w:hAnsi="Times New Roman" w:cs="Times New Roman"/>
          <w:sz w:val="28"/>
          <w:szCs w:val="28"/>
        </w:rPr>
        <w:t>контролируемых лиц</w:t>
      </w:r>
      <w:r w:rsidR="00D06344" w:rsidRPr="00153175">
        <w:rPr>
          <w:rFonts w:ascii="Times New Roman" w:hAnsi="Times New Roman" w:cs="Times New Roman"/>
          <w:sz w:val="28"/>
          <w:szCs w:val="28"/>
        </w:rPr>
        <w:t xml:space="preserve"> об обязательных требованиях</w:t>
      </w:r>
      <w:r w:rsidR="00D06344">
        <w:rPr>
          <w:rFonts w:ascii="Times New Roman" w:hAnsi="Times New Roman" w:cs="Times New Roman"/>
          <w:sz w:val="28"/>
          <w:szCs w:val="28"/>
        </w:rPr>
        <w:t xml:space="preserve"> и способах их исполнения</w:t>
      </w:r>
      <w:r w:rsidR="00D06344" w:rsidRPr="00153175">
        <w:rPr>
          <w:rFonts w:ascii="Times New Roman" w:hAnsi="Times New Roman" w:cs="Times New Roman"/>
          <w:sz w:val="28"/>
          <w:szCs w:val="28"/>
        </w:rPr>
        <w:t xml:space="preserve">, а также низкая мотивация добросовестного соблюдения обязательных требований данными </w:t>
      </w:r>
      <w:r w:rsidR="00D06344">
        <w:rPr>
          <w:rFonts w:ascii="Times New Roman" w:hAnsi="Times New Roman" w:cs="Times New Roman"/>
          <w:sz w:val="28"/>
          <w:szCs w:val="28"/>
        </w:rPr>
        <w:t>лицами.</w:t>
      </w:r>
    </w:p>
    <w:p w:rsidR="00B52B74" w:rsidRPr="0053089B" w:rsidRDefault="00B52B74" w:rsidP="00D06344">
      <w:pPr>
        <w:pStyle w:val="ac"/>
        <w:ind w:firstLine="709"/>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D06344" w:rsidRDefault="00D06344" w:rsidP="00B52B74">
      <w:pPr>
        <w:widowControl w:val="0"/>
        <w:autoSpaceDE w:val="0"/>
        <w:autoSpaceDN w:val="0"/>
        <w:adjustRightInd w:val="0"/>
        <w:ind w:firstLine="567"/>
        <w:contextualSpacing/>
        <w:jc w:val="both"/>
        <w:rPr>
          <w:rFonts w:ascii="Times New Roman" w:hAnsi="Times New Roman" w:cs="Times New Roman"/>
          <w:sz w:val="28"/>
          <w:szCs w:val="28"/>
        </w:rPr>
        <w:sectPr w:rsidR="00D06344"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w:t>
            </w:r>
            <w:r w:rsidR="0074509A">
              <w:rPr>
                <w:rFonts w:ascii="Times New Roman" w:eastAsia="Times New Roman" w:hAnsi="Times New Roman" w:cs="Times New Roman"/>
                <w:color w:val="010101"/>
                <w:sz w:val="24"/>
              </w:rPr>
              <w:t>жилищного контроля</w:t>
            </w:r>
            <w:r w:rsidRPr="00CD7A4D">
              <w:rPr>
                <w:rFonts w:ascii="Times New Roman" w:eastAsia="Times New Roman" w:hAnsi="Times New Roman" w:cs="Times New Roman"/>
                <w:color w:val="010101"/>
                <w:sz w:val="24"/>
              </w:rPr>
              <w:t xml:space="preserve"> в городском округе Тейково Ивановской области  (далее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74509A">
              <w:rPr>
                <w:rFonts w:ascii="Times New Roman" w:hAnsi="Times New Roman" w:cs="Times New Roman"/>
                <w:sz w:val="24"/>
                <w:szCs w:val="22"/>
              </w:rPr>
              <w:t xml:space="preserve">муниципального </w:t>
            </w:r>
            <w:proofErr w:type="spellStart"/>
            <w:r w:rsidR="0074509A">
              <w:rPr>
                <w:rFonts w:ascii="Times New Roman" w:hAnsi="Times New Roman" w:cs="Times New Roman"/>
                <w:sz w:val="24"/>
                <w:szCs w:val="22"/>
              </w:rPr>
              <w:t>жидищного</w:t>
            </w:r>
            <w:proofErr w:type="spellEnd"/>
            <w:r w:rsidR="0074509A">
              <w:rPr>
                <w:rFonts w:ascii="Times New Roman" w:hAnsi="Times New Roman" w:cs="Times New Roman"/>
                <w:sz w:val="24"/>
                <w:szCs w:val="22"/>
              </w:rPr>
              <w:t xml:space="preserve"> контроля</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мероприятий, установленных настоящим Положением;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w:t>
            </w:r>
            <w:r w:rsidR="0074509A">
              <w:rPr>
                <w:rFonts w:ascii="Times New Roman" w:hAnsi="Times New Roman" w:cs="Times New Roman"/>
                <w:sz w:val="24"/>
                <w:szCs w:val="22"/>
              </w:rPr>
              <w:t>жилищному контролю, то</w:t>
            </w:r>
            <w:r w:rsidRPr="001D6CC3">
              <w:rPr>
                <w:rFonts w:ascii="Times New Roman" w:hAnsi="Times New Roman" w:cs="Times New Roman"/>
                <w:sz w:val="24"/>
                <w:szCs w:val="22"/>
              </w:rPr>
              <w:t xml:space="preserve"> 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lastRenderedPageBreak/>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w:t>
            </w:r>
            <w:r w:rsidRPr="001D6CC3">
              <w:rPr>
                <w:rFonts w:ascii="Times New Roman" w:eastAsia="Times New Roman" w:hAnsi="Times New Roman" w:cs="Times New Roman"/>
                <w:color w:val="010101"/>
                <w:sz w:val="24"/>
              </w:rPr>
              <w:lastRenderedPageBreak/>
              <w:t>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lastRenderedPageBreak/>
              <w:t xml:space="preserve">Отдел муниципального контроля администрации городского округа </w:t>
            </w:r>
            <w:r w:rsidRPr="001E5B8C">
              <w:rPr>
                <w:rFonts w:ascii="Times New Roman" w:eastAsia="Times New Roman" w:hAnsi="Times New Roman" w:cs="Times New Roman"/>
                <w:color w:val="010101"/>
                <w:sz w:val="24"/>
                <w:szCs w:val="28"/>
              </w:rPr>
              <w:lastRenderedPageBreak/>
              <w:t>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lastRenderedPageBreak/>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1D6CC3">
              <w:rPr>
                <w:rFonts w:ascii="Times New Roman" w:hAnsi="Times New Roman" w:cs="Times New Roman"/>
                <w:b/>
                <w:sz w:val="24"/>
              </w:rPr>
              <w:t>3</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B03481">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w:t>
            </w:r>
            <w:r w:rsidR="00B03481">
              <w:rPr>
                <w:rFonts w:ascii="Times New Roman" w:eastAsia="Times New Roman" w:hAnsi="Times New Roman" w:cs="Times New Roman"/>
                <w:bCs/>
                <w:color w:val="010101"/>
                <w:sz w:val="24"/>
                <w:szCs w:val="28"/>
              </w:rPr>
              <w:t>области осуществления муниципального жилищного контроля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B0348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B0348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884F01">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 xml:space="preserve">муниципальный </w:t>
      </w:r>
      <w:r w:rsidR="00D06344">
        <w:rPr>
          <w:rFonts w:ascii="Times New Roman" w:eastAsia="Times New Roman" w:hAnsi="Times New Roman" w:cs="Times New Roman"/>
          <w:bCs/>
          <w:color w:val="010101"/>
          <w:sz w:val="28"/>
          <w:szCs w:val="28"/>
        </w:rPr>
        <w:t xml:space="preserve">жилищный </w:t>
      </w:r>
      <w:r w:rsidRPr="00291B44">
        <w:rPr>
          <w:rFonts w:ascii="Times New Roman" w:eastAsia="Times New Roman" w:hAnsi="Times New Roman" w:cs="Times New Roman"/>
          <w:bCs/>
          <w:color w:val="010101"/>
          <w:sz w:val="28"/>
          <w:szCs w:val="28"/>
        </w:rPr>
        <w:t>контроль</w:t>
      </w:r>
      <w:r w:rsidR="00884F01">
        <w:rPr>
          <w:rFonts w:ascii="Times New Roman" w:eastAsia="Times New Roman" w:hAnsi="Times New Roman" w:cs="Times New Roman"/>
          <w:bCs/>
          <w:color w:val="010101"/>
          <w:sz w:val="28"/>
          <w:szCs w:val="28"/>
        </w:rPr>
        <w:t xml:space="preserve"> </w:t>
      </w:r>
      <w:r w:rsidR="00884F01" w:rsidRPr="009429C2">
        <w:rPr>
          <w:rFonts w:ascii="Times New Roman" w:hAnsi="Times New Roman" w:cs="Times New Roman"/>
          <w:color w:val="000000"/>
          <w:sz w:val="28"/>
          <w:szCs w:val="28"/>
        </w:rPr>
        <w:t>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111272"/>
    <w:rsid w:val="00122949"/>
    <w:rsid w:val="001D6CC3"/>
    <w:rsid w:val="001E5B8C"/>
    <w:rsid w:val="002813CF"/>
    <w:rsid w:val="00292D9C"/>
    <w:rsid w:val="004D1E40"/>
    <w:rsid w:val="00686394"/>
    <w:rsid w:val="006B2887"/>
    <w:rsid w:val="0074509A"/>
    <w:rsid w:val="007647F1"/>
    <w:rsid w:val="00862B67"/>
    <w:rsid w:val="00884F01"/>
    <w:rsid w:val="008C1D01"/>
    <w:rsid w:val="009429C2"/>
    <w:rsid w:val="00965441"/>
    <w:rsid w:val="00971A05"/>
    <w:rsid w:val="009A26D7"/>
    <w:rsid w:val="009A4615"/>
    <w:rsid w:val="009C3684"/>
    <w:rsid w:val="00B03481"/>
    <w:rsid w:val="00B52B74"/>
    <w:rsid w:val="00BA7BEF"/>
    <w:rsid w:val="00C36C91"/>
    <w:rsid w:val="00CD7A4D"/>
    <w:rsid w:val="00D06344"/>
    <w:rsid w:val="00D07E44"/>
    <w:rsid w:val="00D358AE"/>
    <w:rsid w:val="00D83940"/>
    <w:rsid w:val="00EB04C2"/>
    <w:rsid w:val="00EF3177"/>
    <w:rsid w:val="00F64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AE"/>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74509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129&amp;date=14.09.20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73476&amp;date=14.09.2021" TargetMode="External"/><Relationship Id="rId12" Type="http://schemas.openxmlformats.org/officeDocument/2006/relationships/hyperlink" Target="https://login.consultant.ru/link/?req=doc&amp;base=LAW&amp;n=44772&amp;date=14.09.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11" Type="http://schemas.openxmlformats.org/officeDocument/2006/relationships/hyperlink" Target="https://login.consultant.ru/link/?req=doc&amp;base=LAW&amp;n=305825&amp;date=14.09.2021" TargetMode="External"/><Relationship Id="rId5" Type="http://schemas.openxmlformats.org/officeDocument/2006/relationships/image" Target="media/image1.jpeg"/><Relationship Id="rId10" Type="http://schemas.openxmlformats.org/officeDocument/2006/relationships/hyperlink" Target="https://login.consultant.ru/link/?req=doc&amp;base=LAW&amp;n=356131&amp;date=14.09.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2661&amp;date=14.09.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12</Pages>
  <Words>3543</Words>
  <Characters>20199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Анастасия Сергеевна Маракуева</cp:lastModifiedBy>
  <cp:revision>14</cp:revision>
  <cp:lastPrinted>2022-09-23T10:17:00Z</cp:lastPrinted>
  <dcterms:created xsi:type="dcterms:W3CDTF">2022-08-29T06:52:00Z</dcterms:created>
  <dcterms:modified xsi:type="dcterms:W3CDTF">2022-09-23T10:24:00Z</dcterms:modified>
</cp:coreProperties>
</file>