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C3" w:rsidRPr="00334396" w:rsidRDefault="00423FC3" w:rsidP="00423FC3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C3" w:rsidRPr="00DB5F96" w:rsidRDefault="00423FC3" w:rsidP="00DB5F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B5F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423FC3" w:rsidRPr="00DB5F96" w:rsidRDefault="00423FC3" w:rsidP="00DB5F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423FC3" w:rsidRPr="00DB5F96" w:rsidRDefault="00423FC3" w:rsidP="00DB5F96">
      <w:pPr>
        <w:pStyle w:val="a4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5F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B5F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3D4C2D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3FC3" w:rsidRPr="00DB5F96">
        <w:rPr>
          <w:rFonts w:ascii="Times New Roman" w:hAnsi="Times New Roman" w:cs="Times New Roman"/>
          <w:sz w:val="28"/>
          <w:szCs w:val="28"/>
        </w:rPr>
        <w:t xml:space="preserve">23.09.2022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C3" w:rsidRPr="00DB5F96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DB47B3" w:rsidRPr="00DB5F96">
        <w:rPr>
          <w:rFonts w:ascii="Times New Roman" w:hAnsi="Times New Roman" w:cs="Times New Roman"/>
          <w:sz w:val="28"/>
          <w:szCs w:val="28"/>
        </w:rPr>
        <w:t>97</w:t>
      </w: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О работе по повышению качества образования в средних общеобразовательных школах городского округа Тейково Ивановской области</w:t>
      </w:r>
    </w:p>
    <w:p w:rsidR="00423FC3" w:rsidRPr="00DB5F96" w:rsidRDefault="00423FC3" w:rsidP="00DB5F96">
      <w:pPr>
        <w:pStyle w:val="a4"/>
        <w:ind w:right="39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3FC3" w:rsidRPr="00DB5F96" w:rsidRDefault="00423FC3" w:rsidP="00DB5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Заслушав информацию и.о. начальника Отдела образования администрации                 </w:t>
      </w:r>
      <w:proofErr w:type="gramStart"/>
      <w:r w:rsidRPr="00DB5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5F96">
        <w:rPr>
          <w:rFonts w:ascii="Times New Roman" w:hAnsi="Times New Roman" w:cs="Times New Roman"/>
          <w:sz w:val="28"/>
          <w:szCs w:val="28"/>
        </w:rPr>
        <w:t>. Тейково Касьяновой М.А. «О работе по повышению качества образования в средних общеобразовательных школах городского округа Тейково Ивановской области»,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423FC3" w:rsidRPr="00DB5F96" w:rsidRDefault="00423FC3" w:rsidP="00DB5F9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23FC3" w:rsidRPr="00DB5F96" w:rsidRDefault="00423FC3" w:rsidP="00DB5F96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5F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5F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23FC3" w:rsidRPr="00DB5F96" w:rsidRDefault="00423FC3" w:rsidP="00DB5F96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Информацию «О работе по повышению качества образования в средних общеобразовательных школах городского округа Тейково Ивановской области» принять к сведению (</w:t>
      </w:r>
      <w:r w:rsidR="003D4C2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DB5F96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423FC3" w:rsidRPr="00DB5F96" w:rsidRDefault="00423FC3" w:rsidP="00DB5F96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23FC3" w:rsidRPr="00DB5F96" w:rsidRDefault="00423FC3" w:rsidP="00DB5F9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6"/>
        <w:tabs>
          <w:tab w:val="left" w:pos="900"/>
        </w:tabs>
        <w:rPr>
          <w:b/>
          <w:i/>
          <w:sz w:val="28"/>
          <w:szCs w:val="28"/>
        </w:rPr>
      </w:pPr>
    </w:p>
    <w:p w:rsidR="00423FC3" w:rsidRPr="00DB5F96" w:rsidRDefault="00423FC3" w:rsidP="00DB5F96">
      <w:pPr>
        <w:pStyle w:val="a6"/>
        <w:tabs>
          <w:tab w:val="left" w:pos="900"/>
        </w:tabs>
        <w:rPr>
          <w:b/>
          <w:i/>
          <w:sz w:val="28"/>
          <w:szCs w:val="28"/>
        </w:rPr>
      </w:pPr>
      <w:r w:rsidRPr="00DB5F96">
        <w:rPr>
          <w:b/>
          <w:i/>
          <w:sz w:val="28"/>
          <w:szCs w:val="28"/>
        </w:rPr>
        <w:t>Председатель городской Думы</w:t>
      </w:r>
    </w:p>
    <w:p w:rsidR="00423FC3" w:rsidRPr="00DB5F96" w:rsidRDefault="00423FC3" w:rsidP="00DB5F96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F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423FC3" w:rsidRPr="00DB5F96" w:rsidRDefault="00423FC3" w:rsidP="00DB5F96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B47B3" w:rsidRPr="00DB5F96" w:rsidRDefault="00DB47B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23FC3" w:rsidRPr="00DB5F96" w:rsidRDefault="00423FC3" w:rsidP="00DB5F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от 23.09.2022 № </w:t>
      </w:r>
      <w:r w:rsidR="00DB47B3" w:rsidRPr="00DB5F96">
        <w:rPr>
          <w:rFonts w:ascii="Times New Roman" w:hAnsi="Times New Roman" w:cs="Times New Roman"/>
          <w:sz w:val="28"/>
          <w:szCs w:val="28"/>
        </w:rPr>
        <w:t>97</w:t>
      </w:r>
    </w:p>
    <w:p w:rsidR="00423FC3" w:rsidRPr="00DB5F96" w:rsidRDefault="00423FC3" w:rsidP="00DB5F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C3" w:rsidRPr="00DB5F96" w:rsidRDefault="00423FC3" w:rsidP="00DB5F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23FC3" w:rsidRPr="00DB5F96" w:rsidRDefault="00423FC3" w:rsidP="00DB5F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96">
        <w:rPr>
          <w:rFonts w:ascii="Times New Roman" w:hAnsi="Times New Roman" w:cs="Times New Roman"/>
          <w:b/>
          <w:sz w:val="28"/>
          <w:szCs w:val="28"/>
        </w:rPr>
        <w:t>«О работе по повышению качества образования в средних общеобразовательных школах городского округа Тейково Ивановской области»</w:t>
      </w:r>
    </w:p>
    <w:p w:rsidR="004D1759" w:rsidRPr="00DB5F96" w:rsidRDefault="004D1759" w:rsidP="00DB5F9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5A0A" w:rsidRPr="00DB5F96" w:rsidRDefault="00DC5A0A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213A1" w:rsidRPr="00DB5F96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="009669B0" w:rsidRPr="00DB5F96">
        <w:rPr>
          <w:rFonts w:ascii="Times New Roman" w:hAnsi="Times New Roman" w:cs="Times New Roman"/>
          <w:sz w:val="28"/>
          <w:szCs w:val="28"/>
        </w:rPr>
        <w:t xml:space="preserve"> — </w:t>
      </w:r>
      <w:r w:rsidRPr="00DB5F96">
        <w:rPr>
          <w:rFonts w:ascii="Times New Roman" w:hAnsi="Times New Roman" w:cs="Times New Roman"/>
          <w:sz w:val="28"/>
          <w:szCs w:val="28"/>
        </w:rPr>
        <w:t xml:space="preserve"> одна из основных зада</w:t>
      </w:r>
      <w:r w:rsidR="0027352C" w:rsidRPr="00DB5F96">
        <w:rPr>
          <w:rFonts w:ascii="Times New Roman" w:hAnsi="Times New Roman" w:cs="Times New Roman"/>
          <w:sz w:val="28"/>
          <w:szCs w:val="28"/>
        </w:rPr>
        <w:t>ч современной школы</w:t>
      </w:r>
      <w:r w:rsidRPr="00DB5F96">
        <w:rPr>
          <w:rFonts w:ascii="Times New Roman" w:hAnsi="Times New Roman" w:cs="Times New Roman"/>
          <w:sz w:val="28"/>
          <w:szCs w:val="28"/>
        </w:rPr>
        <w:t>. Все субъекты образовательного процесса (педагоги, обучающиеся, родители) заинтересованы в обеспечении качества образования.</w:t>
      </w:r>
    </w:p>
    <w:p w:rsidR="00DC5A0A" w:rsidRPr="00DB5F96" w:rsidRDefault="00DC5A0A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27352C" w:rsidRPr="00DB5F96">
        <w:rPr>
          <w:rFonts w:ascii="Times New Roman" w:hAnsi="Times New Roman" w:cs="Times New Roman"/>
          <w:sz w:val="28"/>
          <w:szCs w:val="28"/>
        </w:rPr>
        <w:t>день показатель качества обуче</w:t>
      </w:r>
      <w:r w:rsidRPr="00DB5F96">
        <w:rPr>
          <w:rFonts w:ascii="Times New Roman" w:hAnsi="Times New Roman" w:cs="Times New Roman"/>
          <w:sz w:val="28"/>
          <w:szCs w:val="28"/>
        </w:rPr>
        <w:t>н</w:t>
      </w:r>
      <w:r w:rsidR="0027352C" w:rsidRPr="00DB5F96">
        <w:rPr>
          <w:rFonts w:ascii="Times New Roman" w:hAnsi="Times New Roman" w:cs="Times New Roman"/>
          <w:sz w:val="28"/>
          <w:szCs w:val="28"/>
        </w:rPr>
        <w:t>н</w:t>
      </w:r>
      <w:r w:rsidRPr="00DB5F96">
        <w:rPr>
          <w:rFonts w:ascii="Times New Roman" w:hAnsi="Times New Roman" w:cs="Times New Roman"/>
          <w:sz w:val="28"/>
          <w:szCs w:val="28"/>
        </w:rPr>
        <w:t>остиучащихся был и остается первым и основным при оценке эффективности деятельности образовательных организаций</w:t>
      </w:r>
      <w:r w:rsidR="0027352C" w:rsidRPr="00DB5F96">
        <w:rPr>
          <w:rFonts w:ascii="Times New Roman" w:hAnsi="Times New Roman" w:cs="Times New Roman"/>
          <w:sz w:val="28"/>
          <w:szCs w:val="28"/>
        </w:rPr>
        <w:t xml:space="preserve">, </w:t>
      </w:r>
      <w:r w:rsidRPr="00DB5F96">
        <w:rPr>
          <w:rFonts w:ascii="Times New Roman" w:hAnsi="Times New Roman" w:cs="Times New Roman"/>
          <w:sz w:val="28"/>
          <w:szCs w:val="28"/>
        </w:rPr>
        <w:t xml:space="preserve">является одним из ведущих показателей результативности труда педагога, коллектива школы. </w:t>
      </w:r>
      <w:r w:rsidR="004A6235" w:rsidRPr="00DB5F96">
        <w:rPr>
          <w:rFonts w:ascii="Times New Roman" w:hAnsi="Times New Roman" w:cs="Times New Roman"/>
          <w:sz w:val="28"/>
          <w:szCs w:val="28"/>
        </w:rPr>
        <w:t>Критериями оценки</w:t>
      </w:r>
      <w:r w:rsidR="004D1759" w:rsidRPr="00DB5F96">
        <w:rPr>
          <w:rFonts w:ascii="Times New Roman" w:hAnsi="Times New Roman" w:cs="Times New Roman"/>
          <w:sz w:val="28"/>
          <w:szCs w:val="28"/>
        </w:rPr>
        <w:t xml:space="preserve"> качества образования являются </w:t>
      </w:r>
      <w:r w:rsidR="004A6235" w:rsidRPr="00DB5F96">
        <w:rPr>
          <w:rFonts w:ascii="Times New Roman" w:hAnsi="Times New Roman" w:cs="Times New Roman"/>
          <w:sz w:val="28"/>
          <w:szCs w:val="28"/>
        </w:rPr>
        <w:t>результ</w:t>
      </w:r>
      <w:r w:rsidR="004D1759" w:rsidRPr="00DB5F96">
        <w:rPr>
          <w:rFonts w:ascii="Times New Roman" w:hAnsi="Times New Roman" w:cs="Times New Roman"/>
          <w:sz w:val="28"/>
          <w:szCs w:val="28"/>
        </w:rPr>
        <w:t>аты качества знаний</w:t>
      </w:r>
      <w:r w:rsidR="004A6235" w:rsidRPr="00DB5F96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4D1759" w:rsidRPr="00DB5F96">
        <w:rPr>
          <w:rFonts w:ascii="Times New Roman" w:hAnsi="Times New Roman" w:cs="Times New Roman"/>
          <w:sz w:val="28"/>
          <w:szCs w:val="28"/>
        </w:rPr>
        <w:t>ихся общеобразовательных школ, результаты</w:t>
      </w:r>
      <w:r w:rsidR="004A6235" w:rsidRPr="00DB5F9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аттестации, результаты участие обучающихся во всер</w:t>
      </w:r>
      <w:r w:rsidR="004D1759" w:rsidRPr="00DB5F96">
        <w:rPr>
          <w:rFonts w:ascii="Times New Roman" w:hAnsi="Times New Roman" w:cs="Times New Roman"/>
          <w:sz w:val="28"/>
          <w:szCs w:val="28"/>
        </w:rPr>
        <w:t>оссийской олимпиаде школьников,</w:t>
      </w:r>
      <w:r w:rsidR="004A6235" w:rsidRPr="00DB5F96">
        <w:rPr>
          <w:rFonts w:ascii="Times New Roman" w:hAnsi="Times New Roman" w:cs="Times New Roman"/>
          <w:sz w:val="28"/>
          <w:szCs w:val="28"/>
        </w:rPr>
        <w:t xml:space="preserve"> высокого уровня профессионализма педагогов</w:t>
      </w:r>
      <w:proofErr w:type="gramStart"/>
      <w:r w:rsidR="004A6235" w:rsidRPr="00DB5F9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A6235" w:rsidRPr="00DB5F96">
        <w:rPr>
          <w:rFonts w:ascii="Times New Roman" w:hAnsi="Times New Roman" w:cs="Times New Roman"/>
          <w:sz w:val="28"/>
          <w:szCs w:val="28"/>
        </w:rPr>
        <w:t>атериально – технического обеспечения учебного процесса.</w:t>
      </w:r>
    </w:p>
    <w:p w:rsidR="00DC5A0A" w:rsidRPr="00DB5F96" w:rsidRDefault="00DC5A0A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96">
        <w:rPr>
          <w:rFonts w:ascii="Times New Roman" w:hAnsi="Times New Roman" w:cs="Times New Roman"/>
          <w:sz w:val="28"/>
          <w:szCs w:val="28"/>
        </w:rPr>
        <w:t xml:space="preserve">Итоги 2021-2022 учебного года показали, что из 3595 обучающихся аттестовано 3183 обучающихся (обучающиеся 1-х классов не аттестуются), что составляет 88,5%.  </w:t>
      </w:r>
      <w:proofErr w:type="gramEnd"/>
    </w:p>
    <w:p w:rsidR="00DC5A0A" w:rsidRPr="00DB5F96" w:rsidRDefault="00DC5A0A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96">
        <w:rPr>
          <w:rFonts w:ascii="Times New Roman" w:hAnsi="Times New Roman" w:cs="Times New Roman"/>
          <w:sz w:val="28"/>
          <w:szCs w:val="28"/>
        </w:rPr>
        <w:t>28 обучающихся переведены в следующий класс условно, что составляет 0,9%.  Оставлены на повторное обучение 14 обучающихся, из них 7 человек в 1-4 клас</w:t>
      </w:r>
      <w:r w:rsidR="004D1759" w:rsidRPr="00DB5F96">
        <w:rPr>
          <w:rFonts w:ascii="Times New Roman" w:hAnsi="Times New Roman" w:cs="Times New Roman"/>
          <w:sz w:val="28"/>
          <w:szCs w:val="28"/>
        </w:rPr>
        <w:t>сах, 5 человек – в 5-8 классах,</w:t>
      </w:r>
      <w:r w:rsidRPr="00DB5F96">
        <w:rPr>
          <w:rFonts w:ascii="Times New Roman" w:hAnsi="Times New Roman" w:cs="Times New Roman"/>
          <w:sz w:val="28"/>
          <w:szCs w:val="28"/>
        </w:rPr>
        <w:t xml:space="preserve"> 2 человека в 9 классе.</w:t>
      </w:r>
      <w:proofErr w:type="gramEnd"/>
    </w:p>
    <w:p w:rsidR="00DC5A0A" w:rsidRPr="00DB5F96" w:rsidRDefault="00DC5A0A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BE24FC" w:rsidRPr="00DB5F96">
        <w:rPr>
          <w:rFonts w:ascii="Times New Roman" w:hAnsi="Times New Roman" w:cs="Times New Roman"/>
          <w:sz w:val="28"/>
          <w:szCs w:val="28"/>
        </w:rPr>
        <w:t>знаний</w:t>
      </w:r>
      <w:r w:rsidRPr="00DB5F96">
        <w:rPr>
          <w:rFonts w:ascii="Times New Roman" w:hAnsi="Times New Roman" w:cs="Times New Roman"/>
          <w:sz w:val="28"/>
          <w:szCs w:val="28"/>
        </w:rPr>
        <w:t xml:space="preserve"> обучающихся по городу составило 49,5% (в прошлом году – 51%). Выше городского показателя качество </w:t>
      </w:r>
      <w:r w:rsidR="00BE24FC" w:rsidRPr="00DB5F96">
        <w:rPr>
          <w:rFonts w:ascii="Times New Roman" w:hAnsi="Times New Roman" w:cs="Times New Roman"/>
          <w:sz w:val="28"/>
          <w:szCs w:val="28"/>
        </w:rPr>
        <w:t>знаний,</w:t>
      </w:r>
      <w:r w:rsidRPr="00DB5F96">
        <w:rPr>
          <w:rFonts w:ascii="Times New Roman" w:hAnsi="Times New Roman" w:cs="Times New Roman"/>
          <w:sz w:val="28"/>
          <w:szCs w:val="28"/>
        </w:rPr>
        <w:t xml:space="preserve"> обучающихся в МОУ Гимназия №3 (69%), МБОУ СШ №2 (53%) и МБОУ СШ № 10 (52%). По результатам этого учебного года показатель качества </w:t>
      </w:r>
      <w:r w:rsidR="00BE24FC" w:rsidRPr="00DB5F96">
        <w:rPr>
          <w:rFonts w:ascii="Times New Roman" w:hAnsi="Times New Roman" w:cs="Times New Roman"/>
          <w:sz w:val="28"/>
          <w:szCs w:val="28"/>
        </w:rPr>
        <w:t>знаний</w:t>
      </w:r>
      <w:r w:rsidRPr="00DB5F96">
        <w:rPr>
          <w:rFonts w:ascii="Times New Roman" w:hAnsi="Times New Roman" w:cs="Times New Roman"/>
          <w:sz w:val="28"/>
          <w:szCs w:val="28"/>
        </w:rPr>
        <w:t xml:space="preserve"> обучающихся снизился практически во всех школах.</w:t>
      </w:r>
    </w:p>
    <w:p w:rsidR="00DC5A0A" w:rsidRPr="00DB5F96" w:rsidRDefault="00325469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Одним из инструментариев оценки качества образования являются результаты государственной итоговой аттестации. Результатами государственной итоговой аттестации являются основаниями для выдачи аттестатов в 9 и 11 классах.</w:t>
      </w:r>
    </w:p>
    <w:p w:rsidR="00325469" w:rsidRPr="00DB5F96" w:rsidRDefault="0032546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в проведении ЕГЭ участвовали 159 выпускников одиннадцатых</w:t>
      </w:r>
      <w:r w:rsidR="004D175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классов. Все они успешно сдали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обязательные предметы (русский язык и математику) и получили аттестат о среднем общем образовании. 21 выпускник (13,2%) награждён медалью «За особые успехи в учении». </w:t>
      </w:r>
    </w:p>
    <w:p w:rsidR="00325469" w:rsidRPr="00DB5F96" w:rsidRDefault="0032546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Выпускники школ горо</w:t>
      </w:r>
      <w:r w:rsidR="004D175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 показали высокие результаты 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ЕГЭ (набрали от 81 баллов и выше): </w:t>
      </w:r>
    </w:p>
    <w:p w:rsidR="00325469" w:rsidRPr="00DB5F96" w:rsidRDefault="004D175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по русскому языку -17,5% выпускников;</w:t>
      </w:r>
    </w:p>
    <w:p w:rsidR="00325469" w:rsidRPr="00DB5F96" w:rsidRDefault="004D175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по математике профильного уровня -7,4% выпускников (по области 6,78%),</w:t>
      </w:r>
    </w:p>
    <w:p w:rsidR="00325469" w:rsidRPr="00DB5F96" w:rsidRDefault="004D175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BE24FC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по физике -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7,7%.</w:t>
      </w:r>
    </w:p>
    <w:p w:rsidR="00325469" w:rsidRPr="00DB5F96" w:rsidRDefault="004D175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химии </w:t>
      </w:r>
      <w:r w:rsidR="00BE24FC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16,7% (по области (12,42%),</w:t>
      </w:r>
      <w:proofErr w:type="gramEnd"/>
    </w:p>
    <w:p w:rsidR="00325469" w:rsidRPr="00DB5F96" w:rsidRDefault="004D175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биологии </w:t>
      </w:r>
      <w:r w:rsidR="00BE24FC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8% (по области 7,22%), </w:t>
      </w:r>
    </w:p>
    <w:p w:rsidR="00325469" w:rsidRPr="00DB5F96" w:rsidRDefault="004D175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английскому языку </w:t>
      </w:r>
      <w:r w:rsidR="00BE24FC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40%.</w:t>
      </w:r>
    </w:p>
    <w:p w:rsidR="00325469" w:rsidRPr="00DB5F96" w:rsidRDefault="00BE24FC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81% выпускников с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дали экзамен по математик</w:t>
      </w:r>
      <w:r w:rsidR="004D175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базовый уровень </w:t>
      </w:r>
      <w:r w:rsidR="00325469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на «4» и «5».</w:t>
      </w:r>
    </w:p>
    <w:p w:rsidR="004D1759" w:rsidRPr="00DB5F96" w:rsidRDefault="00325469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Высокие баллы</w:t>
      </w:r>
      <w:r w:rsidR="00BE24FC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городу получили выпускники четырех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 по 9 из 11 предметам.</w:t>
      </w:r>
    </w:p>
    <w:p w:rsidR="004D1759" w:rsidRPr="00DB5F96" w:rsidRDefault="004D1759" w:rsidP="00DB5F9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707"/>
        <w:gridCol w:w="1713"/>
        <w:gridCol w:w="3894"/>
      </w:tblGrid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b/>
                <w:szCs w:val="28"/>
              </w:rPr>
            </w:pPr>
            <w:r w:rsidRPr="00DB5F96">
              <w:rPr>
                <w:b/>
                <w:szCs w:val="28"/>
              </w:rPr>
              <w:t>Предмет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b/>
                <w:szCs w:val="28"/>
              </w:rPr>
            </w:pPr>
            <w:r w:rsidRPr="00DB5F96">
              <w:rPr>
                <w:b/>
                <w:szCs w:val="28"/>
              </w:rPr>
              <w:t>Количество баллов</w:t>
            </w:r>
          </w:p>
        </w:tc>
        <w:tc>
          <w:tcPr>
            <w:tcW w:w="3894" w:type="dxa"/>
          </w:tcPr>
          <w:p w:rsidR="00325469" w:rsidRPr="00DB5F96" w:rsidRDefault="00325469" w:rsidP="00DB5F96">
            <w:pPr>
              <w:pStyle w:val="a4"/>
              <w:jc w:val="center"/>
              <w:rPr>
                <w:b/>
                <w:szCs w:val="28"/>
              </w:rPr>
            </w:pPr>
            <w:r w:rsidRPr="00DB5F96">
              <w:rPr>
                <w:b/>
                <w:szCs w:val="28"/>
              </w:rPr>
              <w:t>ОУ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Обществознание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100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 xml:space="preserve">МБОУ </w:t>
            </w:r>
            <w:r w:rsidR="00325469" w:rsidRPr="00DB5F96">
              <w:rPr>
                <w:szCs w:val="28"/>
              </w:rPr>
              <w:t>СШ № 2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Математика профильный уровень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98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 xml:space="preserve">МБОУ </w:t>
            </w:r>
            <w:r w:rsidR="00325469" w:rsidRPr="00DB5F96">
              <w:rPr>
                <w:szCs w:val="28"/>
              </w:rPr>
              <w:t>СШ № 4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Английский язык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98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МБОУ</w:t>
            </w:r>
            <w:r w:rsidR="00325469" w:rsidRPr="00DB5F96">
              <w:rPr>
                <w:szCs w:val="28"/>
              </w:rPr>
              <w:t>СШ № 2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Биология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96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МБОУ</w:t>
            </w:r>
            <w:r w:rsidR="00325469" w:rsidRPr="00DB5F96">
              <w:rPr>
                <w:szCs w:val="28"/>
              </w:rPr>
              <w:t>СШ № 2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Русский язык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96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МБОУ</w:t>
            </w:r>
            <w:r w:rsidR="00325469" w:rsidRPr="00DB5F96">
              <w:rPr>
                <w:szCs w:val="28"/>
              </w:rPr>
              <w:t>СШ № 1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Физика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95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МБОУ</w:t>
            </w:r>
            <w:r w:rsidR="00325469" w:rsidRPr="00DB5F96">
              <w:rPr>
                <w:szCs w:val="28"/>
              </w:rPr>
              <w:t>СШ № 2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История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93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МБОУ</w:t>
            </w:r>
            <w:r w:rsidR="00325469" w:rsidRPr="00DB5F96">
              <w:rPr>
                <w:szCs w:val="28"/>
              </w:rPr>
              <w:t>СШ № 1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Информатика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93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 xml:space="preserve">МОУ </w:t>
            </w:r>
            <w:r w:rsidR="00325469" w:rsidRPr="00DB5F96">
              <w:rPr>
                <w:szCs w:val="28"/>
              </w:rPr>
              <w:t>Гимназия № 3</w:t>
            </w:r>
          </w:p>
        </w:tc>
      </w:tr>
      <w:tr w:rsidR="00325469" w:rsidRPr="00DB5F96" w:rsidTr="004D1759">
        <w:tc>
          <w:tcPr>
            <w:tcW w:w="4707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Химия</w:t>
            </w:r>
          </w:p>
        </w:tc>
        <w:tc>
          <w:tcPr>
            <w:tcW w:w="1713" w:type="dxa"/>
          </w:tcPr>
          <w:p w:rsidR="00325469" w:rsidRPr="00DB5F96" w:rsidRDefault="00325469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91</w:t>
            </w:r>
          </w:p>
        </w:tc>
        <w:tc>
          <w:tcPr>
            <w:tcW w:w="3894" w:type="dxa"/>
          </w:tcPr>
          <w:p w:rsidR="00325469" w:rsidRPr="00DB5F96" w:rsidRDefault="000F0CF4" w:rsidP="00DB5F96">
            <w:pPr>
              <w:pStyle w:val="a4"/>
              <w:jc w:val="center"/>
              <w:rPr>
                <w:szCs w:val="28"/>
              </w:rPr>
            </w:pPr>
            <w:r w:rsidRPr="00DB5F96">
              <w:rPr>
                <w:szCs w:val="28"/>
              </w:rPr>
              <w:t>МБОУ</w:t>
            </w:r>
            <w:r w:rsidR="00325469" w:rsidRPr="00DB5F96">
              <w:rPr>
                <w:szCs w:val="28"/>
              </w:rPr>
              <w:t>СШ № 2</w:t>
            </w:r>
          </w:p>
        </w:tc>
      </w:tr>
    </w:tbl>
    <w:p w:rsidR="006E3E5C" w:rsidRPr="00DB5F96" w:rsidRDefault="006E3E5C" w:rsidP="00DB5F96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311" w:rsidRPr="00DB5F96" w:rsidRDefault="00325469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Не преодолели минимальный порог по биологии 8% выпускников, по обществознанию 11,4%   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по информатике 14, 3%, 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>по истории 24%. Не преодолели минимальный порог по математике профильный уровень 10 выпускников (11%).</w:t>
      </w:r>
    </w:p>
    <w:p w:rsidR="00325469" w:rsidRPr="00DB5F96" w:rsidRDefault="00325469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>В ос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новном государственном (ОГЭ) и 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>ускном государственном экзамене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(ГВЭ) участвовали 316 выпускников девятых классов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>. 2 выпускника (</w:t>
      </w:r>
      <w:r w:rsidR="000F0CF4" w:rsidRPr="00DB5F96">
        <w:rPr>
          <w:rFonts w:ascii="Times New Roman" w:hAnsi="Times New Roman" w:cs="Times New Roman"/>
          <w:sz w:val="28"/>
          <w:szCs w:val="28"/>
        </w:rPr>
        <w:t>школы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0F0CF4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2 и 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>№ 5)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были не допущены к сдаче основного государственного экзамена, оставлены на повторное обучение</w:t>
      </w:r>
      <w:proofErr w:type="gramStart"/>
      <w:r w:rsidRPr="00DB5F96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B5F96">
        <w:rPr>
          <w:rFonts w:ascii="Times New Roman" w:hAnsi="Times New Roman" w:cs="Times New Roman"/>
          <w:sz w:val="28"/>
          <w:szCs w:val="28"/>
          <w:lang w:eastAsia="ru-RU"/>
        </w:rPr>
        <w:t>е все выпускники смогли успешно сдать экзамены в</w:t>
      </w:r>
      <w:r w:rsidR="000F0CF4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период проведения ГИА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>-9.</w:t>
      </w:r>
    </w:p>
    <w:p w:rsidR="00325469" w:rsidRPr="00DB5F96" w:rsidRDefault="00325469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первой сдачи ОГЭ 54 (17%) участника получили неудовлетворительные результаты по математике, 43 (23%) по обществознанию, 17 (11%) по географии, 9 (8%) по информатике, 14 (4%) по русскому языку, 14 (17%) по биологии, 1 (3%) по химии, 2 (5%) по физике. </w:t>
      </w:r>
    </w:p>
    <w:p w:rsidR="00325469" w:rsidRPr="00DB5F96" w:rsidRDefault="00325469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>Только по истории, литературе, английскому языку в основной период выпускники с</w:t>
      </w:r>
      <w:r w:rsidR="004D1759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дали 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>ОГЭ без «2».</w:t>
      </w:r>
    </w:p>
    <w:p w:rsidR="00325469" w:rsidRPr="00DB5F96" w:rsidRDefault="00325469" w:rsidP="00DB5F96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результаты ОГЭ по городу по русскому языку, математике, физике</w:t>
      </w:r>
      <w:r w:rsidR="001C4311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обществознанию в </w:t>
      </w:r>
      <w:r w:rsidR="0042647E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r w:rsidR="001C4311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№ 3. </w:t>
      </w:r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обучения в Гимназии по русскому языку составило 92,73%, по математике – 54,55%, по физике – 55,56%, по обществознанию – 70%. Выпускники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2 показали лучшие результаты ОГЭ по химии, информатике, биологии. Качество </w:t>
      </w:r>
      <w:proofErr w:type="gramStart"/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химии</w:t>
      </w:r>
      <w:proofErr w:type="gramEnd"/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92,31%, по информатике – 52,63%, по биологии – 69,23%. У выпускников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№ 4 лучшие результаты ОГЭ по географии. 88,46% выпускников сдали экзамен на «4» и «5».</w:t>
      </w:r>
    </w:p>
    <w:p w:rsidR="006E3E5C" w:rsidRPr="00DB5F96" w:rsidRDefault="00325469" w:rsidP="00DB5F96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из 316 выпускников лишь 297 человек (93,99%) получили аттестат об образовании за курс основной школы. 19 (6,01%) девятиклассников оставлены на пересдачу экзаменов в сентябрьские сроки.</w:t>
      </w:r>
      <w:r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выпускников (4,4 %) получили аттестаты особого образца. </w:t>
      </w:r>
    </w:p>
    <w:p w:rsidR="0090446B" w:rsidRPr="00DB5F96" w:rsidRDefault="0090446B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в 9 и 11 классах говорят о недостаточной эффективности как индивидуальной работы с </w:t>
      </w:r>
      <w:proofErr w:type="gramStart"/>
      <w:r w:rsidRPr="00DB5F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5F96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r w:rsidRPr="00DB5F96">
        <w:rPr>
          <w:rFonts w:ascii="Times New Roman" w:hAnsi="Times New Roman" w:cs="Times New Roman"/>
          <w:sz w:val="28"/>
          <w:szCs w:val="28"/>
        </w:rPr>
        <w:lastRenderedPageBreak/>
        <w:t>учебных дефицитов, так и об отсутствии контроля со стороны администрации в течение учебного года за работой учителей по подготовке обучающихся к ГИА.</w:t>
      </w:r>
    </w:p>
    <w:p w:rsidR="0090446B" w:rsidRPr="00DB5F96" w:rsidRDefault="0090446B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Категория слабоуспевающих школьников требует высокого педагогического профессионализма, особых подходов и технологий, больших трудозатрат. </w:t>
      </w:r>
    </w:p>
    <w:p w:rsidR="0090446B" w:rsidRPr="00DB5F96" w:rsidRDefault="0090446B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Администрации общеобразовательных организаций рекомендовано на педагогических советах представить учителям своё конкретное видение </w:t>
      </w:r>
      <w:proofErr w:type="gramStart"/>
      <w:r w:rsidRPr="00DB5F96">
        <w:rPr>
          <w:rFonts w:ascii="Times New Roman" w:hAnsi="Times New Roman" w:cs="Times New Roman"/>
          <w:sz w:val="28"/>
          <w:szCs w:val="28"/>
        </w:rPr>
        <w:t>путей решения снижения качества образования</w:t>
      </w:r>
      <w:proofErr w:type="gramEnd"/>
      <w:r w:rsidRPr="00DB5F96">
        <w:rPr>
          <w:rFonts w:ascii="Times New Roman" w:hAnsi="Times New Roman" w:cs="Times New Roman"/>
          <w:sz w:val="28"/>
          <w:szCs w:val="28"/>
        </w:rPr>
        <w:t>. Необходимо провести детальный анализ результатов ЕГЭ и ОГЭ по каждому предмету, усовершенствовать план подготовки к ОГЭ– 2023 года с учетом выявленных проблемных зон.</w:t>
      </w:r>
      <w:bookmarkStart w:id="0" w:name="_GoBack"/>
      <w:bookmarkEnd w:id="0"/>
    </w:p>
    <w:p w:rsidR="006E3E5C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Еще одним актуальным вопросом повышения качестваобразования является развитие функциональной грамотностиобучающихся. Обсуждение вопросов формирования функциональной грамотности стало лидером методических мероприятий и мониторинговых исследований в минувшем учебном году. В рамках регионального мониторинга во всех общеобразовательных учреждениях города организованы исследования уровня сформированности функциональной грамотности обучающихся 8 и 9 классов по четырём направлениям: естественнонаучное, математическое, читательское и финансовая грамотность. </w:t>
      </w:r>
    </w:p>
    <w:p w:rsidR="006E3E5C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Исследование по функциональной грамотности продемонстрировало недостаточн</w:t>
      </w:r>
      <w:r w:rsidR="00EF784B" w:rsidRPr="00DB5F96">
        <w:rPr>
          <w:rFonts w:ascii="Times New Roman" w:hAnsi="Times New Roman" w:cs="Times New Roman"/>
          <w:sz w:val="28"/>
          <w:szCs w:val="28"/>
        </w:rPr>
        <w:t>ый и низкий уровень сформирован</w:t>
      </w:r>
      <w:r w:rsidRPr="00DB5F96">
        <w:rPr>
          <w:rFonts w:ascii="Times New Roman" w:hAnsi="Times New Roman" w:cs="Times New Roman"/>
          <w:sz w:val="28"/>
          <w:szCs w:val="28"/>
        </w:rPr>
        <w:t>ности функциональной грамотности обучающихся 8-х классов по всем четырем направлениям: естественнонаучная грамотность, математическая грамотность, читательская грамотность и финансовая грамотность; в 9-х классах недостаточный и низкий уровень сформированности математической, естественнонаучной грамотности обучающихся. На основании результатов исследования педагогам рекомендовано:</w:t>
      </w:r>
    </w:p>
    <w:p w:rsidR="006E3E5C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-  выявить типичные ошибки, допущенные </w:t>
      </w:r>
      <w:proofErr w:type="gramStart"/>
      <w:r w:rsidRPr="00DB5F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5F96">
        <w:rPr>
          <w:rFonts w:ascii="Times New Roman" w:hAnsi="Times New Roman" w:cs="Times New Roman"/>
          <w:sz w:val="28"/>
          <w:szCs w:val="28"/>
        </w:rPr>
        <w:t xml:space="preserve"> при выполнении данной работы;</w:t>
      </w:r>
    </w:p>
    <w:p w:rsidR="006E3E5C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-  включить в текущий контроль задания, которые вызвали наибольшие затруднения;</w:t>
      </w:r>
    </w:p>
    <w:p w:rsidR="006E3E5C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- активно использовать открытый банк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 заданий для оценки </w:t>
      </w:r>
      <w:r w:rsidRPr="00DB5F96">
        <w:rPr>
          <w:rFonts w:ascii="Times New Roman" w:hAnsi="Times New Roman" w:cs="Times New Roman"/>
          <w:sz w:val="28"/>
          <w:szCs w:val="28"/>
        </w:rPr>
        <w:t>функциональной грамотности;</w:t>
      </w:r>
    </w:p>
    <w:p w:rsidR="006E3E5C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- больше уделять внимания практическ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им работам на уроках предметов </w:t>
      </w:r>
      <w:r w:rsidRPr="00DB5F96">
        <w:rPr>
          <w:rFonts w:ascii="Times New Roman" w:hAnsi="Times New Roman" w:cs="Times New Roman"/>
          <w:sz w:val="28"/>
          <w:szCs w:val="28"/>
        </w:rPr>
        <w:t xml:space="preserve">естественнонаучной области </w:t>
      </w:r>
      <w:r w:rsidRPr="00DB5F96">
        <w:rPr>
          <w:rFonts w:ascii="Times New Roman" w:hAnsi="Times New Roman" w:cs="Times New Roman"/>
          <w:sz w:val="28"/>
          <w:szCs w:val="28"/>
        </w:rPr>
        <w:tab/>
      </w:r>
    </w:p>
    <w:p w:rsidR="00F26B83" w:rsidRPr="00DB5F96" w:rsidRDefault="006E3E5C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Важным элементом оценки качества образования является участие обучающихся во всероссийской олимпиаде школьников. </w:t>
      </w:r>
      <w:r w:rsidR="00F26B83" w:rsidRPr="00DB5F96">
        <w:rPr>
          <w:rFonts w:ascii="Times New Roman" w:hAnsi="Times New Roman" w:cs="Times New Roman"/>
          <w:sz w:val="28"/>
          <w:szCs w:val="28"/>
        </w:rPr>
        <w:t>В прошедшем учеб</w:t>
      </w:r>
      <w:r w:rsidR="001C4311" w:rsidRPr="00DB5F96">
        <w:rPr>
          <w:rFonts w:ascii="Times New Roman" w:hAnsi="Times New Roman" w:cs="Times New Roman"/>
          <w:sz w:val="28"/>
          <w:szCs w:val="28"/>
        </w:rPr>
        <w:t>ном году впервые школьный этап о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F26B83" w:rsidRPr="00DB5F96">
        <w:rPr>
          <w:rFonts w:ascii="Times New Roman" w:hAnsi="Times New Roman" w:cs="Times New Roman"/>
          <w:sz w:val="28"/>
          <w:szCs w:val="28"/>
        </w:rPr>
        <w:t>по астрономии, биологии, информатике, математике и химии проведён с использованием информационно-коммуникационных технологий на платформе «Сириус. Курсы». Всего в школьном этапе приняли участие 963 учащихся 4-11 классов</w:t>
      </w:r>
      <w:proofErr w:type="gramStart"/>
      <w:r w:rsidR="00F26B83" w:rsidRPr="00DB5F9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26B83" w:rsidRPr="00DB5F96">
        <w:rPr>
          <w:rFonts w:ascii="Times New Roman" w:hAnsi="Times New Roman" w:cs="Times New Roman"/>
          <w:sz w:val="28"/>
          <w:szCs w:val="28"/>
        </w:rPr>
        <w:t xml:space="preserve"> муниципальном этапе участвовали 199 учащихся 7-11 классов, набравших определённое количество баллов на школьном этапе. 54 человека стали победителями и призёрами. Лидером по количеству победителей и призёров муниципального этапа продолжает оставаться</w:t>
      </w:r>
      <w:r w:rsidR="00783AE6" w:rsidRPr="00DB5F96">
        <w:rPr>
          <w:rFonts w:ascii="Times New Roman" w:hAnsi="Times New Roman" w:cs="Times New Roman"/>
          <w:sz w:val="28"/>
          <w:szCs w:val="28"/>
        </w:rPr>
        <w:t xml:space="preserve"> МОУ</w:t>
      </w:r>
      <w:r w:rsidR="00F26B83" w:rsidRPr="00DB5F96">
        <w:rPr>
          <w:rFonts w:ascii="Times New Roman" w:hAnsi="Times New Roman" w:cs="Times New Roman"/>
          <w:sz w:val="28"/>
          <w:szCs w:val="28"/>
        </w:rPr>
        <w:t xml:space="preserve"> Гимназия № 3. </w:t>
      </w:r>
      <w:r w:rsidR="00783AE6" w:rsidRPr="00DB5F96">
        <w:rPr>
          <w:rFonts w:ascii="Times New Roman" w:hAnsi="Times New Roman" w:cs="Times New Roman"/>
          <w:sz w:val="28"/>
          <w:szCs w:val="28"/>
        </w:rPr>
        <w:t>24 обучающихся Гимназии</w:t>
      </w:r>
      <w:r w:rsidR="00F26B83" w:rsidRPr="00DB5F96">
        <w:rPr>
          <w:rFonts w:ascii="Times New Roman" w:hAnsi="Times New Roman" w:cs="Times New Roman"/>
          <w:sz w:val="28"/>
          <w:szCs w:val="28"/>
        </w:rPr>
        <w:t xml:space="preserve"> стали победителями и призёрами.</w:t>
      </w:r>
    </w:p>
    <w:p w:rsidR="00F26B83" w:rsidRPr="00DB5F96" w:rsidRDefault="00F26B83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>В олимпиаде регионального уровня по 14</w:t>
      </w:r>
      <w:r w:rsidR="00EF784B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 предметам 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участвовали учащиеся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СШ № 2, </w:t>
      </w:r>
      <w:r w:rsidR="00783AE6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Гимназии №3,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>СШ № 4 в количестве 33 человек.</w:t>
      </w:r>
    </w:p>
    <w:p w:rsidR="00F26B83" w:rsidRPr="00DB5F96" w:rsidRDefault="00F26B83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Из них 6 учащихся стали победителями и призёрами: </w:t>
      </w:r>
    </w:p>
    <w:p w:rsidR="00F26B83" w:rsidRPr="00DB5F96" w:rsidRDefault="00EF784B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2 учащихся </w:t>
      </w:r>
      <w:r w:rsidR="00783AE6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Гимназии № 3 –победители по физической культуре (учитель </w:t>
      </w:r>
      <w:proofErr w:type="spellStart"/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>Крайнова</w:t>
      </w:r>
      <w:proofErr w:type="spellEnd"/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Н.В.); </w:t>
      </w:r>
    </w:p>
    <w:p w:rsidR="00F26B83" w:rsidRPr="00DB5F96" w:rsidRDefault="00EF784B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4 призёра -1 ученик </w:t>
      </w:r>
      <w:r w:rsidR="00783AE6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>Гимназии № 3 по литератур</w:t>
      </w:r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е (учитель </w:t>
      </w:r>
      <w:proofErr w:type="spellStart"/>
      <w:r w:rsidRPr="00DB5F96">
        <w:rPr>
          <w:rFonts w:ascii="Times New Roman" w:hAnsi="Times New Roman" w:cs="Times New Roman"/>
          <w:sz w:val="28"/>
          <w:szCs w:val="28"/>
          <w:lang w:eastAsia="ru-RU"/>
        </w:rPr>
        <w:t>Свекольникова</w:t>
      </w:r>
      <w:proofErr w:type="spellEnd"/>
      <w:r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 Л.Б.),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2 ученика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 xml:space="preserve">СШ № 2 по биологии (учитель Фатеева Т.Ю.), 1 ученик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F26B83" w:rsidRPr="00DB5F96">
        <w:rPr>
          <w:rFonts w:ascii="Times New Roman" w:hAnsi="Times New Roman" w:cs="Times New Roman"/>
          <w:sz w:val="28"/>
          <w:szCs w:val="28"/>
          <w:lang w:eastAsia="ru-RU"/>
        </w:rPr>
        <w:t>СШ № 2 по географии (учитель Якимова А.Ю.).</w:t>
      </w:r>
    </w:p>
    <w:p w:rsidR="00F26B83" w:rsidRPr="00DB5F96" w:rsidRDefault="00F26B83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участия школьников в региональном этапе ВОШ в</w:t>
      </w:r>
      <w:r w:rsidR="00EF784B"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2021-2022 учебном году 18, 2% 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(в прошлом учебном году -11,4%).</w:t>
      </w:r>
    </w:p>
    <w:p w:rsidR="00F26B83" w:rsidRPr="00DB5F96" w:rsidRDefault="00F26B83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 победителя регионального этапа по физической культуре приняли участие в заключительном этапе, который проходил в </w:t>
      </w:r>
      <w:proofErr w:type="gramStart"/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>. Екатеринбурге.</w:t>
      </w:r>
    </w:p>
    <w:p w:rsidR="00F26B83" w:rsidRPr="00DB5F96" w:rsidRDefault="00F26B83" w:rsidP="00DB5F96">
      <w:pPr>
        <w:pStyle w:val="a4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Хочется отметить, что в прошедшем учебном году 4 ученика 5, 6, 7 классов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СШ № 2 и </w:t>
      </w:r>
      <w:r w:rsidR="00783AE6" w:rsidRPr="00DB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СШ № 10 стали призёрами </w:t>
      </w:r>
      <w:r w:rsidRPr="00DB5F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DB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тура регионального математического турнира. </w:t>
      </w:r>
    </w:p>
    <w:p w:rsidR="0055167B" w:rsidRPr="00DB5F96" w:rsidRDefault="004A6235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Основной причиной снижения качества образования является снижение мотивации молодого поколения к полу</w:t>
      </w:r>
      <w:r w:rsidR="00F26B83" w:rsidRPr="00DB5F96">
        <w:rPr>
          <w:rFonts w:ascii="Times New Roman" w:hAnsi="Times New Roman" w:cs="Times New Roman"/>
          <w:sz w:val="28"/>
          <w:szCs w:val="28"/>
        </w:rPr>
        <w:t>чению качественного образования, трудности усвоения образовательной программы, отсут</w:t>
      </w:r>
      <w:r w:rsidR="001C4311" w:rsidRPr="00DB5F96">
        <w:rPr>
          <w:rFonts w:ascii="Times New Roman" w:hAnsi="Times New Roman" w:cs="Times New Roman"/>
          <w:sz w:val="28"/>
          <w:szCs w:val="28"/>
        </w:rPr>
        <w:t>с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твие систематического </w:t>
      </w:r>
      <w:proofErr w:type="gramStart"/>
      <w:r w:rsidR="00EF784B" w:rsidRPr="00DB5F9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26B83" w:rsidRPr="00DB5F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6B83" w:rsidRPr="00DB5F96">
        <w:rPr>
          <w:rFonts w:ascii="Times New Roman" w:hAnsi="Times New Roman" w:cs="Times New Roman"/>
          <w:sz w:val="28"/>
          <w:szCs w:val="28"/>
        </w:rPr>
        <w:t xml:space="preserve"> успеваемостью со стороны родителей, индивидуальными особенностями детей. </w:t>
      </w:r>
    </w:p>
    <w:p w:rsidR="004A6235" w:rsidRPr="00DB5F96" w:rsidRDefault="00F26B83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В 2022-2023 учебном году в о</w:t>
      </w:r>
      <w:r w:rsidR="00EF784B" w:rsidRPr="00DB5F96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="0055167B" w:rsidRPr="00DB5F96">
        <w:rPr>
          <w:rFonts w:ascii="Times New Roman" w:hAnsi="Times New Roman" w:cs="Times New Roman"/>
          <w:sz w:val="28"/>
          <w:szCs w:val="28"/>
        </w:rPr>
        <w:t xml:space="preserve"> школах города Тейково</w:t>
      </w:r>
      <w:r w:rsidRPr="00DB5F96">
        <w:rPr>
          <w:rFonts w:ascii="Times New Roman" w:hAnsi="Times New Roman" w:cs="Times New Roman"/>
          <w:sz w:val="28"/>
          <w:szCs w:val="28"/>
        </w:rPr>
        <w:t xml:space="preserve"> будут обучать</w:t>
      </w:r>
      <w:r w:rsidR="0055167B" w:rsidRPr="00DB5F96">
        <w:rPr>
          <w:rFonts w:ascii="Times New Roman" w:hAnsi="Times New Roman" w:cs="Times New Roman"/>
          <w:sz w:val="28"/>
          <w:szCs w:val="28"/>
        </w:rPr>
        <w:t>ся 39учащихся</w:t>
      </w:r>
      <w:r w:rsidR="0090446B" w:rsidRPr="00DB5F96">
        <w:rPr>
          <w:rFonts w:ascii="Times New Roman" w:hAnsi="Times New Roman" w:cs="Times New Roman"/>
          <w:sz w:val="28"/>
          <w:szCs w:val="28"/>
        </w:rPr>
        <w:t xml:space="preserve"> со статусом </w:t>
      </w:r>
      <w:r w:rsidR="0055167B" w:rsidRPr="00DB5F96">
        <w:rPr>
          <w:rFonts w:ascii="Times New Roman" w:hAnsi="Times New Roman" w:cs="Times New Roman"/>
          <w:sz w:val="28"/>
          <w:szCs w:val="28"/>
        </w:rPr>
        <w:t>«И</w:t>
      </w:r>
      <w:r w:rsidR="0090446B" w:rsidRPr="00DB5F96">
        <w:rPr>
          <w:rFonts w:ascii="Times New Roman" w:hAnsi="Times New Roman" w:cs="Times New Roman"/>
          <w:sz w:val="28"/>
          <w:szCs w:val="28"/>
        </w:rPr>
        <w:t>нвалид</w:t>
      </w:r>
      <w:r w:rsidR="0055167B" w:rsidRPr="00DB5F96">
        <w:rPr>
          <w:rFonts w:ascii="Times New Roman" w:hAnsi="Times New Roman" w:cs="Times New Roman"/>
          <w:sz w:val="28"/>
          <w:szCs w:val="28"/>
        </w:rPr>
        <w:t>» и 18 учащихся, имеющих статус «Ограниченные возможности здоровья»</w:t>
      </w:r>
      <w:r w:rsidR="004D3D87" w:rsidRPr="00DB5F96">
        <w:rPr>
          <w:rFonts w:ascii="Times New Roman" w:hAnsi="Times New Roman" w:cs="Times New Roman"/>
          <w:sz w:val="28"/>
          <w:szCs w:val="28"/>
        </w:rPr>
        <w:t>, которые требуют особой организации обучения</w:t>
      </w:r>
      <w:r w:rsidR="00205C38" w:rsidRPr="00DB5F96">
        <w:rPr>
          <w:rFonts w:ascii="Times New Roman" w:hAnsi="Times New Roman" w:cs="Times New Roman"/>
          <w:sz w:val="28"/>
          <w:szCs w:val="28"/>
        </w:rPr>
        <w:t>.</w:t>
      </w:r>
    </w:p>
    <w:p w:rsidR="00205C38" w:rsidRPr="00DB5F96" w:rsidRDefault="00205C38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Главный ресурс муниципальной системы образования – это кадры, от мастерства и опыта работы которых зависит реализация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 всех поставленных задач, в </w:t>
      </w:r>
      <w:r w:rsidRPr="00DB5F96">
        <w:rPr>
          <w:rFonts w:ascii="Times New Roman" w:hAnsi="Times New Roman" w:cs="Times New Roman"/>
          <w:sz w:val="28"/>
          <w:szCs w:val="28"/>
        </w:rPr>
        <w:t>том числе и повышение качества образования.</w:t>
      </w:r>
    </w:p>
    <w:p w:rsidR="00205C38" w:rsidRPr="00DB5F96" w:rsidRDefault="00EF784B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Новая школа требует </w:t>
      </w:r>
      <w:r w:rsidR="00205C38" w:rsidRPr="00DB5F96">
        <w:rPr>
          <w:rFonts w:ascii="Times New Roman" w:hAnsi="Times New Roman" w:cs="Times New Roman"/>
          <w:sz w:val="28"/>
          <w:szCs w:val="28"/>
        </w:rPr>
        <w:t xml:space="preserve">учителей, владеющих психолого-педагогическими знаниями, понимающих особенности развития обучающихся, способных помочь детям стать творческими, самостоятельными, уверенными в себе людьми. </w:t>
      </w:r>
      <w:r w:rsidR="0090446B" w:rsidRPr="00DB5F96">
        <w:rPr>
          <w:rFonts w:ascii="Times New Roman" w:hAnsi="Times New Roman" w:cs="Times New Roman"/>
          <w:sz w:val="28"/>
          <w:szCs w:val="28"/>
        </w:rPr>
        <w:t>На 01.01.2022 года в школах города трудятся 162</w:t>
      </w:r>
      <w:r w:rsidR="00205C38" w:rsidRPr="00DB5F96">
        <w:rPr>
          <w:rFonts w:ascii="Times New Roman" w:hAnsi="Times New Roman" w:cs="Times New Roman"/>
          <w:sz w:val="28"/>
          <w:szCs w:val="28"/>
        </w:rPr>
        <w:t>педагога, более 70% из которых имеют высшее образование, а доля педагогов до 35 лет составляет 21% от общего количества педагогических работников.</w:t>
      </w:r>
    </w:p>
    <w:p w:rsidR="00205C38" w:rsidRPr="00DB5F96" w:rsidRDefault="00423FC3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 </w:t>
      </w:r>
      <w:r w:rsidR="00205C38" w:rsidRPr="00DB5F96">
        <w:rPr>
          <w:rFonts w:ascii="Times New Roman" w:hAnsi="Times New Roman" w:cs="Times New Roman"/>
          <w:sz w:val="28"/>
          <w:szCs w:val="28"/>
        </w:rPr>
        <w:t>В этом году в образовате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льные учреждения города пришли </w:t>
      </w:r>
      <w:r w:rsidR="00205C38" w:rsidRPr="00DB5F96">
        <w:rPr>
          <w:rFonts w:ascii="Times New Roman" w:hAnsi="Times New Roman" w:cs="Times New Roman"/>
          <w:sz w:val="28"/>
          <w:szCs w:val="28"/>
        </w:rPr>
        <w:t>15 молодых специалистов, 11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 – в школы и 4 –</w:t>
      </w:r>
      <w:r w:rsidR="00205C38" w:rsidRPr="00DB5F96">
        <w:rPr>
          <w:rFonts w:ascii="Times New Roman" w:hAnsi="Times New Roman" w:cs="Times New Roman"/>
          <w:sz w:val="28"/>
          <w:szCs w:val="28"/>
        </w:rPr>
        <w:t xml:space="preserve"> в дошкольные образовательные учреждения.     Материальная поддержка молодых специалистов на городском уровне, организация наставничества, Школа молодого пе</w:t>
      </w:r>
      <w:r w:rsidR="00EF784B" w:rsidRPr="00DB5F96">
        <w:rPr>
          <w:rFonts w:ascii="Times New Roman" w:hAnsi="Times New Roman" w:cs="Times New Roman"/>
          <w:sz w:val="28"/>
          <w:szCs w:val="28"/>
        </w:rPr>
        <w:t>дагога способствуют закреплению</w:t>
      </w:r>
      <w:r w:rsidR="00205C38" w:rsidRPr="00DB5F96">
        <w:rPr>
          <w:rFonts w:ascii="Times New Roman" w:hAnsi="Times New Roman" w:cs="Times New Roman"/>
          <w:sz w:val="28"/>
          <w:szCs w:val="28"/>
        </w:rPr>
        <w:t xml:space="preserve"> специалистов в образовательных учреждениях города.   </w:t>
      </w:r>
    </w:p>
    <w:p w:rsidR="00205C38" w:rsidRPr="00DB5F96" w:rsidRDefault="00205C38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Проблема обеспечения кадрами продолжает решаться за счет увеличения учебной нагрузки н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а работающих учителей, внешнего и внутреннего </w:t>
      </w:r>
      <w:r w:rsidRPr="00DB5F96">
        <w:rPr>
          <w:rFonts w:ascii="Times New Roman" w:hAnsi="Times New Roman" w:cs="Times New Roman"/>
          <w:sz w:val="28"/>
          <w:szCs w:val="28"/>
        </w:rPr>
        <w:t>совместительства. Актуальной проблемой на сегодняшний день является острая нехватка учителей математики, информатики, иностранного языка, физики, русского языка и литературы.</w:t>
      </w:r>
    </w:p>
    <w:p w:rsidR="00205C38" w:rsidRPr="00DB5F96" w:rsidRDefault="00205C38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Для устранения дефицита кадров в школах в новом учебном году </w:t>
      </w:r>
      <w:r w:rsidR="000366F1" w:rsidRPr="00DB5F96">
        <w:rPr>
          <w:rFonts w:ascii="Times New Roman" w:hAnsi="Times New Roman" w:cs="Times New Roman"/>
          <w:sz w:val="28"/>
          <w:szCs w:val="28"/>
        </w:rPr>
        <w:t>будет организована целенаправленная профориентационнаяработа</w:t>
      </w:r>
      <w:r w:rsidRPr="00DB5F96">
        <w:rPr>
          <w:rFonts w:ascii="Times New Roman" w:hAnsi="Times New Roman" w:cs="Times New Roman"/>
          <w:sz w:val="28"/>
          <w:szCs w:val="28"/>
        </w:rPr>
        <w:t xml:space="preserve"> со старшеклассниками путем введения и в дальнейшем развития социально-педагогического профиля в школах, делая акцент</w:t>
      </w:r>
      <w:r w:rsidR="00DD17B1" w:rsidRPr="00DB5F96">
        <w:rPr>
          <w:rFonts w:ascii="Times New Roman" w:hAnsi="Times New Roman" w:cs="Times New Roman"/>
          <w:sz w:val="28"/>
          <w:szCs w:val="28"/>
        </w:rPr>
        <w:t xml:space="preserve"> на педагогические профессии.  В </w:t>
      </w:r>
      <w:r w:rsidRPr="00DB5F9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DD17B1" w:rsidRPr="00DB5F96">
        <w:rPr>
          <w:rFonts w:ascii="Times New Roman" w:hAnsi="Times New Roman" w:cs="Times New Roman"/>
          <w:sz w:val="28"/>
          <w:szCs w:val="28"/>
        </w:rPr>
        <w:t>будет выстроена работа</w:t>
      </w:r>
      <w:r w:rsidRPr="00DB5F96">
        <w:rPr>
          <w:rFonts w:ascii="Times New Roman" w:hAnsi="Times New Roman" w:cs="Times New Roman"/>
          <w:sz w:val="28"/>
          <w:szCs w:val="28"/>
        </w:rPr>
        <w:t xml:space="preserve">по выявлению детей, склонных к педагогической деятельности, чтобы они возвращались в школы молодыми учителями.  </w:t>
      </w:r>
    </w:p>
    <w:p w:rsidR="00DD17B1" w:rsidRPr="00DB5F96" w:rsidRDefault="00DD17B1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все более актуальным становится вопрос повышения качества образования посредством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 совершенствования материально</w:t>
      </w:r>
      <w:r w:rsidRPr="00DB5F96">
        <w:rPr>
          <w:rFonts w:ascii="Times New Roman" w:hAnsi="Times New Roman" w:cs="Times New Roman"/>
          <w:sz w:val="28"/>
          <w:szCs w:val="28"/>
        </w:rPr>
        <w:t>-технической базы, необходимости вывода ее на качественный уровень.</w:t>
      </w:r>
    </w:p>
    <w:p w:rsidR="00DD17B1" w:rsidRPr="00DB5F96" w:rsidRDefault="00DD17B1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Хорошим подсп</w:t>
      </w:r>
      <w:r w:rsidR="009669B0" w:rsidRPr="00DB5F96">
        <w:rPr>
          <w:rFonts w:ascii="Times New Roman" w:hAnsi="Times New Roman" w:cs="Times New Roman"/>
          <w:sz w:val="28"/>
          <w:szCs w:val="28"/>
        </w:rPr>
        <w:t>орьем в укрепление материально-</w:t>
      </w:r>
      <w:r w:rsidRPr="00DB5F96">
        <w:rPr>
          <w:rFonts w:ascii="Times New Roman" w:hAnsi="Times New Roman" w:cs="Times New Roman"/>
          <w:sz w:val="28"/>
          <w:szCs w:val="28"/>
        </w:rPr>
        <w:t>технической базы образовател</w:t>
      </w:r>
      <w:r w:rsidR="00EF784B" w:rsidRPr="00DB5F96">
        <w:rPr>
          <w:rFonts w:ascii="Times New Roman" w:hAnsi="Times New Roman" w:cs="Times New Roman"/>
          <w:sz w:val="28"/>
          <w:szCs w:val="28"/>
        </w:rPr>
        <w:t>ьных организаций служит участие</w:t>
      </w:r>
      <w:r w:rsidRPr="00DB5F96">
        <w:rPr>
          <w:rFonts w:ascii="Times New Roman" w:hAnsi="Times New Roman" w:cs="Times New Roman"/>
          <w:sz w:val="28"/>
          <w:szCs w:val="28"/>
        </w:rPr>
        <w:t xml:space="preserve"> в нацпроекте «Образование», благодаря которому во всех общеобразовательных школах города функционируют «Точки роста», что позволило 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04786B" w:rsidRPr="00DB5F96">
        <w:rPr>
          <w:rFonts w:ascii="Times New Roman" w:hAnsi="Times New Roman" w:cs="Times New Roman"/>
          <w:sz w:val="28"/>
          <w:szCs w:val="28"/>
        </w:rPr>
        <w:t>возможности обучающихся в освое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нии учебных предметов </w:t>
      </w:r>
      <w:r w:rsidR="009669B0" w:rsidRPr="00DB5F96">
        <w:rPr>
          <w:rFonts w:ascii="Times New Roman" w:hAnsi="Times New Roman" w:cs="Times New Roman"/>
          <w:sz w:val="28"/>
          <w:szCs w:val="28"/>
        </w:rPr>
        <w:t>цифровой, гуманитарной</w:t>
      </w:r>
      <w:r w:rsidR="00EF784B" w:rsidRPr="00DB5F96">
        <w:rPr>
          <w:rFonts w:ascii="Times New Roman" w:hAnsi="Times New Roman" w:cs="Times New Roman"/>
          <w:sz w:val="28"/>
          <w:szCs w:val="28"/>
        </w:rPr>
        <w:t>,</w:t>
      </w:r>
      <w:r w:rsidR="0004786B" w:rsidRPr="00DB5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86B" w:rsidRPr="00DB5F9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4786B" w:rsidRPr="00DB5F96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  Мо</w:t>
      </w:r>
      <w:r w:rsidRPr="00DB5F96">
        <w:rPr>
          <w:rFonts w:ascii="Times New Roman" w:hAnsi="Times New Roman" w:cs="Times New Roman"/>
          <w:sz w:val="28"/>
          <w:szCs w:val="28"/>
        </w:rPr>
        <w:t xml:space="preserve">дернизирована спортивная инфраструктура </w:t>
      </w:r>
      <w:r w:rsidR="00EF784B" w:rsidRPr="00DB5F96">
        <w:rPr>
          <w:rFonts w:ascii="Times New Roman" w:hAnsi="Times New Roman" w:cs="Times New Roman"/>
          <w:sz w:val="28"/>
          <w:szCs w:val="28"/>
        </w:rPr>
        <w:t>в школах № 1 и №</w:t>
      </w:r>
      <w:r w:rsidR="009669B0" w:rsidRPr="00DB5F96">
        <w:rPr>
          <w:rFonts w:ascii="Times New Roman" w:hAnsi="Times New Roman" w:cs="Times New Roman"/>
          <w:sz w:val="28"/>
          <w:szCs w:val="28"/>
        </w:rPr>
        <w:t xml:space="preserve"> 2.</w:t>
      </w:r>
      <w:r w:rsidR="00EF784B" w:rsidRPr="00DB5F9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DB5F96">
        <w:rPr>
          <w:rFonts w:ascii="Times New Roman" w:hAnsi="Times New Roman" w:cs="Times New Roman"/>
          <w:sz w:val="28"/>
          <w:szCs w:val="28"/>
        </w:rPr>
        <w:t>проекта «Успех каждого ребенка» нацпроекта «Образование» будут отремонтированы спортивные залы и закуплено новое спортивное оборудование в МБОУ СШ№10 и МОУ Гимназии №3.</w:t>
      </w:r>
      <w:r w:rsidR="009669B0" w:rsidRPr="00DB5F96">
        <w:rPr>
          <w:rFonts w:ascii="Times New Roman" w:hAnsi="Times New Roman" w:cs="Times New Roman"/>
          <w:sz w:val="28"/>
          <w:szCs w:val="28"/>
        </w:rPr>
        <w:t xml:space="preserve"> Материально-техническая </w:t>
      </w:r>
      <w:r w:rsidR="00506AB2" w:rsidRPr="00DB5F96">
        <w:rPr>
          <w:rFonts w:ascii="Times New Roman" w:hAnsi="Times New Roman" w:cs="Times New Roman"/>
          <w:sz w:val="28"/>
          <w:szCs w:val="28"/>
        </w:rPr>
        <w:t>база общеобразовательных учреждений требует дальнейшего совершенствования, как одного из фактора повышения качества образования, в частности компьютерным оборудованием, учебно-наглядными пособиями и учебным оборудованием.</w:t>
      </w:r>
    </w:p>
    <w:p w:rsidR="00CF453D" w:rsidRPr="00DB5F96" w:rsidRDefault="00CF453D" w:rsidP="00DB5F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>Качество образования - важнейший показатель успеха школы</w:t>
      </w:r>
      <w:r w:rsidR="00506AB2" w:rsidRPr="00DB5F96">
        <w:rPr>
          <w:rFonts w:ascii="Times New Roman" w:hAnsi="Times New Roman" w:cs="Times New Roman"/>
          <w:sz w:val="28"/>
          <w:szCs w:val="28"/>
        </w:rPr>
        <w:t xml:space="preserve"> и </w:t>
      </w:r>
      <w:r w:rsidR="009669B0" w:rsidRPr="00DB5F9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506AB2" w:rsidRPr="00DB5F96">
        <w:rPr>
          <w:rFonts w:ascii="Times New Roman" w:hAnsi="Times New Roman" w:cs="Times New Roman"/>
          <w:sz w:val="28"/>
          <w:szCs w:val="28"/>
        </w:rPr>
        <w:t>задача по-прежнему остается повышение качества образования на всех уровнях общего образования.</w:t>
      </w:r>
    </w:p>
    <w:p w:rsidR="00205C38" w:rsidRPr="00DB5F96" w:rsidRDefault="00205C38" w:rsidP="00DB5F9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DB5F96" w:rsidRDefault="00423FC3" w:rsidP="00DB5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И.о. начальника Отдела образования </w:t>
      </w:r>
    </w:p>
    <w:p w:rsidR="00423FC3" w:rsidRPr="00DB5F96" w:rsidRDefault="00423FC3" w:rsidP="00DB5F96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DB5F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B5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5F96">
        <w:rPr>
          <w:rFonts w:ascii="Times New Roman" w:hAnsi="Times New Roman" w:cs="Times New Roman"/>
          <w:sz w:val="28"/>
          <w:szCs w:val="28"/>
        </w:rPr>
        <w:t>. Тейково                              _________________ М.А. Касьянова</w:t>
      </w:r>
    </w:p>
    <w:p w:rsidR="00563C24" w:rsidRPr="00DB5F96" w:rsidRDefault="00563C24" w:rsidP="00DB5F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24" w:rsidRPr="00DB5F96" w:rsidRDefault="00563C24" w:rsidP="00DB5F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24" w:rsidRPr="00DB5F96" w:rsidRDefault="00563C24" w:rsidP="00DB5F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24" w:rsidRPr="00DB5F96" w:rsidRDefault="00563C24" w:rsidP="00DB5F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469" w:rsidRPr="00DB5F96" w:rsidRDefault="00325469" w:rsidP="00DB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B3" w:rsidRPr="00DB5F96" w:rsidRDefault="00FB4FB3" w:rsidP="00DB5F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B4FB3" w:rsidRPr="00DB5F96" w:rsidSect="00423FC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B1"/>
    <w:rsid w:val="000366F1"/>
    <w:rsid w:val="0004786B"/>
    <w:rsid w:val="000E3155"/>
    <w:rsid w:val="000F0CF4"/>
    <w:rsid w:val="001162E4"/>
    <w:rsid w:val="001245EF"/>
    <w:rsid w:val="00155F4A"/>
    <w:rsid w:val="001C0B75"/>
    <w:rsid w:val="001C4311"/>
    <w:rsid w:val="00205C38"/>
    <w:rsid w:val="0021501F"/>
    <w:rsid w:val="002210E1"/>
    <w:rsid w:val="002213A1"/>
    <w:rsid w:val="0027352C"/>
    <w:rsid w:val="002F04B0"/>
    <w:rsid w:val="00315BB3"/>
    <w:rsid w:val="00325469"/>
    <w:rsid w:val="003851FE"/>
    <w:rsid w:val="00394312"/>
    <w:rsid w:val="003D4C2D"/>
    <w:rsid w:val="00423FC3"/>
    <w:rsid w:val="0042647E"/>
    <w:rsid w:val="004A6235"/>
    <w:rsid w:val="004B44B3"/>
    <w:rsid w:val="004D1759"/>
    <w:rsid w:val="004D3D87"/>
    <w:rsid w:val="004D443C"/>
    <w:rsid w:val="00506AB2"/>
    <w:rsid w:val="0055167B"/>
    <w:rsid w:val="00563C24"/>
    <w:rsid w:val="005E7A18"/>
    <w:rsid w:val="006D72E4"/>
    <w:rsid w:val="006E3E5C"/>
    <w:rsid w:val="00704103"/>
    <w:rsid w:val="0075434E"/>
    <w:rsid w:val="00783AE6"/>
    <w:rsid w:val="00810732"/>
    <w:rsid w:val="008473BC"/>
    <w:rsid w:val="00854A78"/>
    <w:rsid w:val="00862D39"/>
    <w:rsid w:val="0090446B"/>
    <w:rsid w:val="009669B0"/>
    <w:rsid w:val="009C06B5"/>
    <w:rsid w:val="009E12F9"/>
    <w:rsid w:val="009F72AC"/>
    <w:rsid w:val="00A55CBC"/>
    <w:rsid w:val="00BE24FC"/>
    <w:rsid w:val="00C84948"/>
    <w:rsid w:val="00CD4C0F"/>
    <w:rsid w:val="00CF453D"/>
    <w:rsid w:val="00CF7C2D"/>
    <w:rsid w:val="00D5467F"/>
    <w:rsid w:val="00DB47B3"/>
    <w:rsid w:val="00DB5F96"/>
    <w:rsid w:val="00DC5A0A"/>
    <w:rsid w:val="00DD17B1"/>
    <w:rsid w:val="00E559B1"/>
    <w:rsid w:val="00EB3FF2"/>
    <w:rsid w:val="00EC5324"/>
    <w:rsid w:val="00EF784B"/>
    <w:rsid w:val="00F0209A"/>
    <w:rsid w:val="00F26B83"/>
    <w:rsid w:val="00F52F0F"/>
    <w:rsid w:val="00F84BFB"/>
    <w:rsid w:val="00FB4FB3"/>
    <w:rsid w:val="00FD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546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175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23FC3"/>
  </w:style>
  <w:style w:type="paragraph" w:styleId="a6">
    <w:name w:val="Body Text"/>
    <w:basedOn w:val="a"/>
    <w:link w:val="a7"/>
    <w:rsid w:val="00423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23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3F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zavgoroo@outlook.com</dc:creator>
  <cp:keywords/>
  <dc:description/>
  <cp:lastModifiedBy>Администратор</cp:lastModifiedBy>
  <cp:revision>36</cp:revision>
  <cp:lastPrinted>2022-09-23T04:17:00Z</cp:lastPrinted>
  <dcterms:created xsi:type="dcterms:W3CDTF">2022-06-01T09:18:00Z</dcterms:created>
  <dcterms:modified xsi:type="dcterms:W3CDTF">2022-09-23T04:17:00Z</dcterms:modified>
</cp:coreProperties>
</file>